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عبد العزيز بن عطايا سعد الدين
</w:t>
      </w:r>
    </w:p>
    <w:p>
      <w:pPr>
        <w:jc w:val="start"/>
        <w:bidi/>
      </w:pPr>
      <w:r>
        <w:rPr>
          <w:rFonts w:ascii="arial" w:hAnsi="arial" w:eastAsia="arial" w:cs="arial"/>
          <w:sz w:val="28"/>
          <w:szCs w:val="28"/>
          <w:b w:val="1"/>
          <w:bCs w:val="1"/>
          <w:rtl/>
        </w:rPr>
        <w:t xml:space="preserve">محمد بن محمد بن عبد العزيز بن عطايا سعد الدين
</w:t>
      </w:r>
    </w:p>
    <w:p>
      <w:pPr/>
      <w:r>
        <w:rPr/>
        <w:t xml:space="preserve">محمد بن محمد بن عبد العزيز بن عطايا سعد الدين محمد بن محمد بن عبد العزيز بن عطايا سعد الدين الوزير ترقى في الخدمة بالكتابة إلى أن ولي نظر البيوت ثم ولي الوزارة في نيابة سلار سنة 704 فاتفق أنه جلس بخلعته بقاعة الصاحب ووقع في الورق والجاولي يرمل عليه وكان قبل ذلك بثلاثة أيام واقفا بين يدي الجاولي يقرأ عليه أوراق حساب لكون الجاولي كان في وظيفة الاستادارية نيابة عن بيبرس الجاشنكير فعد الناس وقوف هذا في خدمة هذا وانعكاس الأمر بعد ثلاثة أيام من العجائب ثم قبض على ابن عطايا بسعي ابن سعيد الدولة في المحرم سنة 706 فصودر ثم أفرج عنه وولي بعد ذلك نظر الأحباس ومات في شعبان سنة 730 وكان خيرا دينا محب الخير وأهله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2026-05-14T18:56:24+03:00</dcterms:created>
  <dcterms:modified xsi:type="dcterms:W3CDTF">2026-05-14T18:56:24+03:00</dcterms:modified>
</cp:coreProperties>
</file>

<file path=docProps/custom.xml><?xml version="1.0" encoding="utf-8"?>
<Properties xmlns="http://schemas.openxmlformats.org/officeDocument/2006/custom-properties" xmlns:vt="http://schemas.openxmlformats.org/officeDocument/2006/docPropsVTypes"/>
</file>