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الرحيم بن عبد الوهاب بن علي بن أحمد
</w:t>
      </w:r>
    </w:p>
    <w:p>
      <w:pPr>
        <w:jc w:val="start"/>
        <w:bidi/>
      </w:pPr>
      <w:r>
        <w:rPr>
          <w:rFonts w:ascii="arial" w:hAnsi="arial" w:eastAsia="arial" w:cs="arial"/>
          <w:sz w:val="28"/>
          <w:szCs w:val="28"/>
          <w:b w:val="1"/>
          <w:bCs w:val="1"/>
          <w:rtl/>
        </w:rPr>
        <w:t xml:space="preserve">محمد بن محمد بن عبد الرحيم بن عبد الوهاب بن علي بن أحمد
</w:t>
      </w:r>
    </w:p>
    <w:p>
      <w:pPr/>
      <w:r>
        <w:rPr/>
        <w:t xml:space="preserve">محمد بن محمد بن عبد الرحيم بن عبد الوهاب بن علي بن أحمد محمد بن محمد بن عبد الرحيم بن عبد الوهاب بن علي بن أحمد بن عقيل السلمي البعلبكي جلال الدين أبو ذر ابن خطيب بعلبك ولد سنة 709 وسمع من ابن الشحنة وأبي بكر بن عنتر وأسماء بنت صصري ذكره الذهبي في المعجم المختص فقال سبط شيخنا أبي الحسين اليونيني سمع من الحجار وطائفة ببعلبك وبدمشق ودار على الشيوخ ونسخ كتابي طبقات الحفاظ والكاشف وقرأه وخطه منسوب وديانته متينة ونفسه زكية قال ابن رافع حدث وتفقه وخطب وكتب بخط المنسوب كثيرا وناب في الحكم ببلده وكان دينا وهو أخو الكاتب بهاء الدين محمود كتبا على والدهما وخطب بالجامع ببعلبك إلى أن مات وناب في الحكم وكان دينا خيرا وكان في آخر خطبة خطبها قد سقطت عمامته من رأسه وهو على المنبر فمات في الجمعة المقبلة سابع ذي القعدة سنة 772 ومات أبوه بدر الدين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2026-05-14T18:53:15+03:00</dcterms:created>
  <dcterms:modified xsi:type="dcterms:W3CDTF">2026-05-14T18:53:15+03:00</dcterms:modified>
</cp:coreProperties>
</file>

<file path=docProps/custom.xml><?xml version="1.0" encoding="utf-8"?>
<Properties xmlns="http://schemas.openxmlformats.org/officeDocument/2006/custom-properties" xmlns:vt="http://schemas.openxmlformats.org/officeDocument/2006/docPropsVTypes"/>
</file>