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عبد الرحمن التميمي أبو عبد الله
</w:t>
      </w:r>
    </w:p>
    <w:p>
      <w:pPr>
        <w:jc w:val="start"/>
        <w:bidi/>
      </w:pPr>
      <w:r>
        <w:rPr>
          <w:rFonts w:ascii="arial" w:hAnsi="arial" w:eastAsia="arial" w:cs="arial"/>
          <w:sz w:val="28"/>
          <w:szCs w:val="28"/>
          <w:b w:val="1"/>
          <w:bCs w:val="1"/>
          <w:rtl/>
        </w:rPr>
        <w:t xml:space="preserve">محمد بن محمد بن عبد الرحمن التميمي أبو عبد الله
</w:t>
      </w:r>
    </w:p>
    <w:p>
      <w:pPr/>
      <w:r>
        <w:rPr/>
        <w:t xml:space="preserve">محمد بن محمد بن عبد الرحمن التميمي أبو عبد الله محمد بن محمد بن عبد الرحمن التميمي أبو عبد الله الحلفاوي التونسي نزيل غرناطة يعرف بابن المؤذن قال ابن الخطيب قدم ومعه مال في تجارة فأنفقه في سبيل البر وتجرد وأقبل على العبادة والتلاوة إلى أن اشتهر بالخير والصدق فصار يقصد بالصدقات فيفرقها في المحاويج فانثال عليه الرجال والنساء والصبيان ومع ذلك فرفده يعمهم وكان صاحب مقامات وكرامات حسن الصلاة جدا وكان يختم في رمضان مائة ختمة ومات في ربيع الآخر سنة 715 وكانت جنازته حافلة جدا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2026-05-14T18:56:23+03:00</dcterms:created>
  <dcterms:modified xsi:type="dcterms:W3CDTF">2026-05-14T18:56:23+03:00</dcterms:modified>
</cp:coreProperties>
</file>

<file path=docProps/custom.xml><?xml version="1.0" encoding="utf-8"?>
<Properties xmlns="http://schemas.openxmlformats.org/officeDocument/2006/custom-properties" xmlns:vt="http://schemas.openxmlformats.org/officeDocument/2006/docPropsVTypes"/>
</file>