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اسماعيل بن ابراهيم بن ناصح تقي
</w:t>
      </w:r>
    </w:p>
    <w:p>
      <w:pPr>
        <w:jc w:val="start"/>
        <w:bidi/>
      </w:pPr>
      <w:r>
        <w:rPr>
          <w:rFonts w:ascii="arial" w:hAnsi="arial" w:eastAsia="arial" w:cs="arial"/>
          <w:sz w:val="28"/>
          <w:szCs w:val="28"/>
          <w:b w:val="1"/>
          <w:bCs w:val="1"/>
          <w:rtl/>
        </w:rPr>
        <w:t xml:space="preserve">محمد بن محمد بن اسماعيل بن ابراهيم بن ناصح تقي
</w:t>
      </w:r>
    </w:p>
    <w:p>
      <w:pPr/>
      <w:r>
        <w:rPr/>
        <w:t xml:space="preserve">محمد بن محمد بن اسماعيل بن ابراهيم بن ناصح تقي محمد بن محمد بن اسماعيل بن ابراهيم بن ناصح تقي الدين بن ناصر الدين بن شرف الدين الحموي الأصل ثم الحلبي الشهير بابن القواس ولد بحماة ونشأ بها وانتقل إلى حلب وولي خطابة الجامع العلائي ظاهر حلب وشغل ودرس ووعظ ومات بحلب سنة 766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2026-05-14T22:12:45+03:00</dcterms:created>
  <dcterms:modified xsi:type="dcterms:W3CDTF">2026-05-14T22:12:45+03:00</dcterms:modified>
</cp:coreProperties>
</file>

<file path=docProps/custom.xml><?xml version="1.0" encoding="utf-8"?>
<Properties xmlns="http://schemas.openxmlformats.org/officeDocument/2006/custom-properties" xmlns:vt="http://schemas.openxmlformats.org/officeDocument/2006/docPropsVTypes"/>
</file>