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أحمد بن محمد بن عبد القاهر ابن النصيبي
</w:t>
      </w:r>
    </w:p>
    <w:p>
      <w:pPr>
        <w:jc w:val="start"/>
        <w:bidi/>
      </w:pPr>
      <w:r>
        <w:rPr>
          <w:rFonts w:ascii="arial" w:hAnsi="arial" w:eastAsia="arial" w:cs="arial"/>
          <w:sz w:val="28"/>
          <w:szCs w:val="28"/>
          <w:b w:val="1"/>
          <w:bCs w:val="1"/>
          <w:rtl/>
        </w:rPr>
        <w:t xml:space="preserve">محمد بن محمد بن أحمد بن محمد بن عبد القاهر ابن النصيبي
</w:t>
      </w:r>
    </w:p>
    <w:p>
      <w:pPr/>
      <w:r>
        <w:rPr/>
        <w:t xml:space="preserve">محمد بن محمد بن أحمد بن محمد بن عبد القاهر ابن النصيبي محمد بن محمد بن أحمد بن محمد بن عبد القاهر ابن النصيبي فخر الدين ابن تاج الدين بن كمال الدين ولد تقريبا سنة 673 وسمع من جده الشمائل والأول من مسند عمار وجزء ابن زنبور وما معه والافراد للدارقطى ومنتقى من مشيخة ابن علوان وثلاثيات البخاري سمع منه ابن عشائر سنة 56 ومات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2026-05-14T21:02:14+03:00</dcterms:created>
  <dcterms:modified xsi:type="dcterms:W3CDTF">2026-05-14T21:02:14+03:00</dcterms:modified>
</cp:coreProperties>
</file>

<file path=docProps/custom.xml><?xml version="1.0" encoding="utf-8"?>
<Properties xmlns="http://schemas.openxmlformats.org/officeDocument/2006/custom-properties" xmlns:vt="http://schemas.openxmlformats.org/officeDocument/2006/docPropsVTypes"/>
</file>