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عبد الله بن محمد بن يحيى
</w:t>
      </w:r>
    </w:p>
    <w:p>
      <w:pPr>
        <w:jc w:val="start"/>
        <w:bidi/>
      </w:pPr>
      <w:r>
        <w:rPr>
          <w:rFonts w:ascii="arial" w:hAnsi="arial" w:eastAsia="arial" w:cs="arial"/>
          <w:sz w:val="28"/>
          <w:szCs w:val="28"/>
          <w:b w:val="1"/>
          <w:bCs w:val="1"/>
          <w:rtl/>
        </w:rPr>
        <w:t xml:space="preserve">محمد بن محمد بن أحمد بن عبد الله بن محمد بن يحيى
</w:t>
      </w:r>
    </w:p>
    <w:p>
      <w:pPr/>
      <w:r>
        <w:rPr/>
        <w:t xml:space="preserve">محمد بن محمد بن أحمد بن عبد الله بن محمد بن يحيى محمد بن محمد بن أحمد بن عبد الله بن محمد بن يحيى بن محمد بن محمد ابن أبي القاسم بن محمد بن عبد الله بن عبد العزيز بن سيد الناس اليعمري الربعي أبو عمرو بن أبي بكر ولد في جمادى الآخرة سنة 645 وسمع ببجاية من أبيه ومن أبي عبد الله ابن الأبار وأبي الحسين ابن السراج وبتونس من أبي إسحاق بن عباس وبالإسكندرية من منصور بن سليم وبمصر من النجيب وابن علاق وبمكة من أبي اليمن بن عساكر وطلب بنفسه وقرأ ونسخ وأسمع أولاده وهم أبو الفتح وأبو القاسم وأبو سعيد وستأتي تراجمهم وله إجازة من عبد الرحيم بن عبد المنعم ابن القرشى واحمد بن فرمون وابن عبد الدائم وشيخ الشيوخ وكان يدري اللغة والعربية وله نظم وفضائل وولي مشيخة الكاملية بعد ابن دقيق العيد ثم انتزعها منه بدر الدين ابن جماعة ومات في جمادى الأولى سنة 705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2026-05-14T23:23:35+03:00</dcterms:created>
  <dcterms:modified xsi:type="dcterms:W3CDTF">2026-05-14T23:23:35+03:00</dcterms:modified>
</cp:coreProperties>
</file>

<file path=docProps/custom.xml><?xml version="1.0" encoding="utf-8"?>
<Properties xmlns="http://schemas.openxmlformats.org/officeDocument/2006/custom-properties" xmlns:vt="http://schemas.openxmlformats.org/officeDocument/2006/docPropsVTypes"/>
</file>