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إبراهيم الكردي ثم الدمشقي
</w:t>
      </w:r>
    </w:p>
    <w:p>
      <w:pPr>
        <w:jc w:val="start"/>
        <w:bidi/>
      </w:pPr>
      <w:r>
        <w:rPr>
          <w:rFonts w:ascii="arial" w:hAnsi="arial" w:eastAsia="arial" w:cs="arial"/>
          <w:sz w:val="28"/>
          <w:szCs w:val="28"/>
          <w:b w:val="1"/>
          <w:bCs w:val="1"/>
          <w:rtl/>
        </w:rPr>
        <w:t xml:space="preserve">محمد بن محمد بن إبراهيم الكردي ثم الدمشقي
</w:t>
      </w:r>
    </w:p>
    <w:p>
      <w:pPr/>
      <w:r>
        <w:rPr/>
        <w:t xml:space="preserve">محمد بن محمد بن إبراهيم الكردي ثم الدمشقي محمد بن محمد بن إبراهيم الكردي ثم الدمشقي ولد سنة نيف وأربعين وسبعمائة وسمع من ابن الخباز وابن تبع وغيرهما وقرأ العربية والقراءة وكان ذكيا محببا إلى الناس وله نظم وكان يؤم بمشهد علي كأبيه وجده ومات في ذي القعدة سنة 772 ولم يكمل الثلاثين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2026-05-14T22:10:47+03:00</dcterms:created>
  <dcterms:modified xsi:type="dcterms:W3CDTF">2026-05-14T22:10:47+03:00</dcterms:modified>
</cp:coreProperties>
</file>

<file path=docProps/custom.xml><?xml version="1.0" encoding="utf-8"?>
<Properties xmlns="http://schemas.openxmlformats.org/officeDocument/2006/custom-properties" xmlns:vt="http://schemas.openxmlformats.org/officeDocument/2006/docPropsVTypes"/>
</file>