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إبراهيم بن جملة الخطيب جمال الدين
</w:t>
      </w:r>
    </w:p>
    <w:p>
      <w:pPr>
        <w:jc w:val="start"/>
        <w:bidi/>
      </w:pPr>
      <w:r>
        <w:rPr>
          <w:rFonts w:ascii="arial" w:hAnsi="arial" w:eastAsia="arial" w:cs="arial"/>
          <w:sz w:val="28"/>
          <w:szCs w:val="28"/>
          <w:b w:val="1"/>
          <w:bCs w:val="1"/>
          <w:rtl/>
        </w:rPr>
        <w:t xml:space="preserve">محمد بن محمد بن إبراهيم بن جملة الخطيب جمال الدين
</w:t>
      </w:r>
    </w:p>
    <w:p>
      <w:pPr/>
      <w:r>
        <w:rPr/>
        <w:t xml:space="preserve">محمد بن محمد بن إبراهيم بن جملة الخطيب جمال الدين محمد بن محمد بن إبراهيم بن جملة الخطيب جمال الدين ولد سنة 706 وسمع من الاضى والمطعم وغيرهما قال الذهبي شارك في الفضائل واشتغل وتقدموولى خطابة جامع دمشق قال غيره إلى أن مات وكان شيخا مهيبا رشيق القلم في الفتاوى مات سنة 764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2026-05-14T22:12:43+03:00</dcterms:created>
  <dcterms:modified xsi:type="dcterms:W3CDTF">2026-05-14T22:12:43+03:00</dcterms:modified>
</cp:coreProperties>
</file>

<file path=docProps/custom.xml><?xml version="1.0" encoding="utf-8"?>
<Properties xmlns="http://schemas.openxmlformats.org/officeDocument/2006/custom-properties" xmlns:vt="http://schemas.openxmlformats.org/officeDocument/2006/docPropsVTypes"/>
</file>