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مبارك بن عثمان السافي الحلبي الرومي الأصل الحنفي
</w:t>
      </w:r>
    </w:p>
    <w:p>
      <w:pPr>
        <w:jc w:val="start"/>
        <w:bidi/>
      </w:pPr>
      <w:r>
        <w:rPr>
          <w:rFonts w:ascii="arial" w:hAnsi="arial" w:eastAsia="arial" w:cs="arial"/>
          <w:sz w:val="28"/>
          <w:szCs w:val="28"/>
          <w:b w:val="1"/>
          <w:bCs w:val="1"/>
          <w:rtl/>
        </w:rPr>
        <w:t xml:space="preserve">محمد بن مبارك بن عثمان السافي الحلبي الرومي الأصل الحنفي
</w:t>
      </w:r>
    </w:p>
    <w:p>
      <w:pPr/>
      <w:r>
        <w:rPr/>
        <w:t xml:space="preserve">محمد بن مبارك بن عثمان السافي الحلبي الرومي الأصل الحنفي محمد بن مبارك بن عثمان السافي الحلبي الرومي الأصل الحنفي شمس الدين قرأ الهداية على التاج ابن البرهان وأخذ عن شمس الدين محمد ابن عثمان بن الأقرب وحج معه ولازمه ودخل القاهرة وأخذ عن علمائها ثم رجع إلى حلب فأقام بها بفتى ويدرس ويشتمل مع الخبر والسكون والوقار مات في 12 شهر رمضان سنة ثمانائة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2026-05-14T22:14:29+03:00</dcterms:created>
  <dcterms:modified xsi:type="dcterms:W3CDTF">2026-05-14T22:14:29+03:00</dcterms:modified>
</cp:coreProperties>
</file>

<file path=docProps/custom.xml><?xml version="1.0" encoding="utf-8"?>
<Properties xmlns="http://schemas.openxmlformats.org/officeDocument/2006/custom-properties" xmlns:vt="http://schemas.openxmlformats.org/officeDocument/2006/docPropsVTypes"/>
</file>