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الليث البغدادي
</w:t>
      </w:r>
    </w:p>
    <w:p>
      <w:pPr>
        <w:jc w:val="start"/>
        <w:bidi/>
      </w:pPr>
      <w:r>
        <w:rPr>
          <w:rFonts w:ascii="arial" w:hAnsi="arial" w:eastAsia="arial" w:cs="arial"/>
          <w:sz w:val="28"/>
          <w:szCs w:val="28"/>
          <w:b w:val="1"/>
          <w:bCs w:val="1"/>
          <w:rtl/>
        </w:rPr>
        <w:t xml:space="preserve">محمد بن الليث البغدادي
</w:t>
      </w:r>
    </w:p>
    <w:p>
      <w:pPr/>
      <w:r>
        <w:rPr/>
        <w:t xml:space="preserve">محمد بن الليث البغدادي محمد بن الليث البغدادي أحد أعيان التجارة كان يسكن الخليل وأوصى عند موته لكل من أهل الحرم مكة والمدينة والقدس والخليل بثمانمائة دينار الجملة ثلاثة آلاف ومائتا دينار ومات في الطاعون العام سنة 749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2026-05-15T00:22:48+03:00</dcterms:created>
  <dcterms:modified xsi:type="dcterms:W3CDTF">2026-05-15T00:22:48+03:00</dcterms:modified>
</cp:coreProperties>
</file>

<file path=docProps/custom.xml><?xml version="1.0" encoding="utf-8"?>
<Properties xmlns="http://schemas.openxmlformats.org/officeDocument/2006/custom-properties" xmlns:vt="http://schemas.openxmlformats.org/officeDocument/2006/docPropsVTypes"/>
</file>