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كامل بن محمد بن تمام بن شعبان بن معالي بن سالم
</w:t>
      </w:r>
    </w:p>
    <w:p>
      <w:pPr>
        <w:jc w:val="start"/>
        <w:bidi/>
      </w:pPr>
      <w:r>
        <w:rPr>
          <w:rFonts w:ascii="arial" w:hAnsi="arial" w:eastAsia="arial" w:cs="arial"/>
          <w:sz w:val="28"/>
          <w:szCs w:val="28"/>
          <w:b w:val="1"/>
          <w:bCs w:val="1"/>
          <w:rtl/>
        </w:rPr>
        <w:t xml:space="preserve">محمد بن كامل بن محمد بن تمام بن شعبان بن معالي بن سالم
</w:t>
      </w:r>
    </w:p>
    <w:p>
      <w:pPr/>
      <w:r>
        <w:rPr/>
        <w:t xml:space="preserve">محمد بن كامل بن محمد بن تمام بن شعبان بن معالي بن سالم محمد بن كامل بن محمد بن تمام بن شعبان بن معالي بن سالم التدمري كان خطيب تدمر ثم سكن الشام ودرس بالبادرائية بعد ابن الوحيد وولي قضاء القدس يقال أنه كان ساذجا وأن القاضي قال له يا شيخ شمس الدين عين لنا رجلا صالحا ورعا عفيفا نبعثه إلى قضاء القدس ففكر طويلا ثم قال ما وجدت غيري فعرف القاضي صدقه وولاه وذلك سنة 34 ثم عزل وولي تدريس البادرائية عوضا عن علاء الدين بن الوحيد وأعطى العلاء قضاء القدس وذلك في ذي الحجة سنة 740 ثم ولي قضاء الخليل ومات به في سنة 741 قال العثماني قاضي صفد اجتمعت به فرأيت من ورعه وتواضعه عجبا وكان سليم الصدر كبير القدر وقرأت بخط إبراهيم بن يونس البعلي في فوائد رحلته قال ذكر لي أنه ولد سنة 661 وأنه صحب الشيخ إبراهيم بن أحمد الرقي وكان اجتماعه به في سنة 730 وهو يومئذ يلي الخطابة ببلد الخليل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2026-05-15T00:26:47+03:00</dcterms:created>
  <dcterms:modified xsi:type="dcterms:W3CDTF">2026-05-15T00:26:47+03:00</dcterms:modified>
</cp:coreProperties>
</file>

<file path=docProps/custom.xml><?xml version="1.0" encoding="utf-8"?>
<Properties xmlns="http://schemas.openxmlformats.org/officeDocument/2006/custom-properties" xmlns:vt="http://schemas.openxmlformats.org/officeDocument/2006/docPropsVTypes"/>
</file>