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علي بن وهب بن مطيع بن أبي الطاعة
</w:t>
      </w:r>
    </w:p>
    <w:p>
      <w:pPr>
        <w:jc w:val="start"/>
        <w:bidi/>
      </w:pPr>
      <w:r>
        <w:rPr>
          <w:rFonts w:ascii="arial" w:hAnsi="arial" w:eastAsia="arial" w:cs="arial"/>
          <w:sz w:val="28"/>
          <w:szCs w:val="28"/>
          <w:b w:val="1"/>
          <w:bCs w:val="1"/>
          <w:rtl/>
        </w:rPr>
        <w:t xml:space="preserve">محمد بن عيسى بن علي بن وهب بن مطيع بن أبي الطاعة
</w:t>
      </w:r>
    </w:p>
    <w:p>
      <w:pPr/>
      <w:r>
        <w:rPr/>
        <w:t xml:space="preserve">محمد بن عيسى بن علي بن وهب بن مطيع بن أبي الطاعة محمد بن عيسى بن علي بن وهب بن مطيع بن أبي الطاعة القشيري شمس الدين بن شرف الدين ابن دقيق العيد ابن أخي تقي الدين ولد سنة 666 وسمع من العز الحراني وشامية بنت البكرى وعبد الوهاب بن الفرات وغيرهم وحدث ودرس وولي نظر المواريث ومات في 25 جمادى الأولى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2026-05-15T00:26:07+03:00</dcterms:created>
  <dcterms:modified xsi:type="dcterms:W3CDTF">2026-05-15T00:26:07+03:00</dcterms:modified>
</cp:coreProperties>
</file>

<file path=docProps/custom.xml><?xml version="1.0" encoding="utf-8"?>
<Properties xmlns="http://schemas.openxmlformats.org/officeDocument/2006/custom-properties" xmlns:vt="http://schemas.openxmlformats.org/officeDocument/2006/docPropsVTypes"/>
</file>