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علي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علي الجزائري
</w:t>
      </w:r>
    </w:p>
    <w:p>
      <w:pPr/>
      <w:r>
        <w:rPr/>
        <w:t xml:space="preserve">محمد بن عمر بن علي الجزائري محمد بن عمر بن علي الجزائري ولد سنة 674 واشتغل وتزهد وحج سنة 712 ومدح الناصر محمد بن قلاون بمكة لما حج ومن نظمه</w:t>
      </w:r>
    </w:p>
    <w:p/>
    <w:p>
      <w:pPr>
        <w:jc w:val="center"/>
      </w:pPr>
      <w:r>
        <w:rPr>
          <w:color w:val="ff0000"/>
        </w:rPr>
        <w:t xml:space="preserve">بلد رملة ما أتم سناكا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فضل الله العظيم نداكا</w:t>
      </w:r>
    </w:p>
    <w:p/>
    <w:p>
      <w:pPr>
        <w:jc w:val="center"/>
      </w:pPr>
      <w:r>
        <w:rPr>
          <w:color w:val="ff0000"/>
        </w:rPr>
        <w:t xml:space="preserve">قالت عائشة الصدوقة عندنا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فعدت لطيبة أن ترى مداكا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2026-05-15T01:23:21+03:00</dcterms:created>
  <dcterms:modified xsi:type="dcterms:W3CDTF">2026-05-15T01:23:21+03:00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