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عامر القطناني المقريء الحراني ثم البغدادي
</w:t>
      </w:r>
    </w:p>
    <w:p>
      <w:pPr>
        <w:jc w:val="start"/>
        <w:bidi/>
      </w:pPr>
      <w:r>
        <w:rPr>
          <w:rFonts w:ascii="arial" w:hAnsi="arial" w:eastAsia="arial" w:cs="arial"/>
          <w:sz w:val="28"/>
          <w:szCs w:val="28"/>
          <w:b w:val="1"/>
          <w:bCs w:val="1"/>
          <w:rtl/>
        </w:rPr>
        <w:t xml:space="preserve">محمد بن عمر بن عامر القطناني المقريء الحراني ثم البغدادي
</w:t>
      </w:r>
    </w:p>
    <w:p>
      <w:pPr/>
      <w:r>
        <w:rPr/>
        <w:t xml:space="preserve">محمد بن عمر بن عامر القطناني المقريء الحراني ثم البغدادي محمد بن عمر بن عامر القطناني المقريء الحراني ثم البغدادي الملقن بالجامع الأموي كان عارفا بالتجويد حسن الاداء مات شهر رجب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2026-06-13T18:47:15+03:00</dcterms:created>
  <dcterms:modified xsi:type="dcterms:W3CDTF">2026-06-13T18:47:15+03:00</dcterms:modified>
</cp:coreProperties>
</file>

<file path=docProps/custom.xml><?xml version="1.0" encoding="utf-8"?>
<Properties xmlns="http://schemas.openxmlformats.org/officeDocument/2006/custom-properties" xmlns:vt="http://schemas.openxmlformats.org/officeDocument/2006/docPropsVTypes"/>
</file>