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رسلان بن نصير بن صالح البلقيني
</w:t>
      </w:r>
    </w:p>
    <w:p>
      <w:pPr>
        <w:jc w:val="start"/>
        <w:bidi/>
      </w:pPr>
      <w:r>
        <w:rPr>
          <w:rFonts w:ascii="arial" w:hAnsi="arial" w:eastAsia="arial" w:cs="arial"/>
          <w:sz w:val="28"/>
          <w:szCs w:val="28"/>
          <w:b w:val="1"/>
          <w:bCs w:val="1"/>
          <w:rtl/>
        </w:rPr>
        <w:t xml:space="preserve">محمد بن عمر بن رسلان بن نصير بن صالح البلقيني
</w:t>
      </w:r>
    </w:p>
    <w:p>
      <w:pPr/>
      <w:r>
        <w:rPr/>
        <w:t xml:space="preserve">محمد بن عمر بن رسلان بن نصير بن صالح البلقيني محمد بن عمر بن رسلان بن نصير بن صالح البلقيني بدر الدين ابن شيخنا سراج الدين ولد سنة بضع وخمسين وهو سبط بهاء الدين بن عقيل فنشأ في كنف أبيه وجده وحفظ عدة كتب في صغره فعرضها على مشايخ الشام سنة 69 لما ولي أبوه قضاءها وسمع من بعض أصحاب الفخر وسمع بالقاهرة من القلانسي وتفقه على أبيه ولازمه إلى أن برع وكان حفظة ذكيا مفرط الذكاء وتعانى الآداب فمهر ونظم الشعر الحسن وكان جميل الصورة حسن العشرة مليح الصفات والذات وولي قضاء العسكر عوضا عن والده سنة 89 وكان أبوه يعظمه ويقدمه حتى كان يرد عليه في الدرس ويعارضه في الترجيح فيخضع له ومات بعلة الاستسقاء في شعبان سنة 791 وفجع به أبوه وتألم عليه حتى دفنه في الخلوة التي له بالمدرسة وقدر أنه دفن عليه بعد أربع عشرة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2026-06-13T18:43:03+03:00</dcterms:created>
  <dcterms:modified xsi:type="dcterms:W3CDTF">2026-06-13T18:43:03+03:00</dcterms:modified>
</cp:coreProperties>
</file>

<file path=docProps/custom.xml><?xml version="1.0" encoding="utf-8"?>
<Properties xmlns="http://schemas.openxmlformats.org/officeDocument/2006/custom-properties" xmlns:vt="http://schemas.openxmlformats.org/officeDocument/2006/docPropsVTypes"/>
</file>