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حسن بن عمر بن حبيب بن عمر
</w:t>
      </w:r>
    </w:p>
    <w:p>
      <w:pPr>
        <w:jc w:val="start"/>
        <w:bidi/>
      </w:pPr>
      <w:r>
        <w:rPr>
          <w:rFonts w:ascii="arial" w:hAnsi="arial" w:eastAsia="arial" w:cs="arial"/>
          <w:sz w:val="28"/>
          <w:szCs w:val="28"/>
          <w:b w:val="1"/>
          <w:bCs w:val="1"/>
          <w:rtl/>
        </w:rPr>
        <w:t xml:space="preserve">محمد بن عمر بن حسن بن عمر بن حبيب بن عمر
</w:t>
      </w:r>
    </w:p>
    <w:p>
      <w:pPr/>
      <w:r>
        <w:rPr/>
        <w:t xml:space="preserve">محمد بن عمر بن حسن بن عمر بن حبيب بن عمر محمد بن عمر بن حسن بن عمر بن حبيب بن عمر بن شويخ بن عمر الدمشقي الأصل الحلبي كمال الدين ولد في مستهل شهر ربيع الأول سنة 703 وأحضر على سنقر الموطأ للقعنبي ومسند الشافعي والبخاري وابن ماجه ومعجم ابن قانع والناسخ لأبي عبيد والصمت والمحاسبة كليهما لابن أبي الدنيا والمقامات وسمع أيضا من العماد بن السكري وبيبرس العديمي وأبي المكارم بن النصيبي وأبي بكر وأبي طالب ابن ابنى العجمى وإسماعيل وإبراهيم وعبد الرحمن أولاد صالح العجمي وإبراهيم بن عبد الرحمن الشيرازي وغيرهم وأجاز له الدمياطي وأبو جعفر ابن الموازيني وعثمان الحمصي وعلى ابن القيم وآخرون وكتب في ديوان الإنشاء بحلب وحدث بالكثير وتفرد ورحل الناس إليه وأكثر عنه أهل مكة حين جاور بها سنة 773 وكانت وفاته بالقاهرة في تاسع عشر جمادى الآخرة سنة 777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2026-06-10T01:10:13+03:00</dcterms:created>
  <dcterms:modified xsi:type="dcterms:W3CDTF">2026-06-10T01:10:13+03:00</dcterms:modified>
</cp:coreProperties>
</file>

<file path=docProps/custom.xml><?xml version="1.0" encoding="utf-8"?>
<Properties xmlns="http://schemas.openxmlformats.org/officeDocument/2006/custom-properties" xmlns:vt="http://schemas.openxmlformats.org/officeDocument/2006/docPropsVTypes"/>
</file>