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أبي بكر بن محمد بن مسعود
</w:t>
      </w:r>
    </w:p>
    <w:p>
      <w:pPr>
        <w:jc w:val="start"/>
        <w:bidi/>
      </w:pPr>
      <w:r>
        <w:rPr>
          <w:rFonts w:ascii="arial" w:hAnsi="arial" w:eastAsia="arial" w:cs="arial"/>
          <w:sz w:val="28"/>
          <w:szCs w:val="28"/>
          <w:b w:val="1"/>
          <w:bCs w:val="1"/>
          <w:rtl/>
        </w:rPr>
        <w:t xml:space="preserve">محمد بن عمر بن أبي بكر بن محمد بن مسعود
</w:t>
      </w:r>
    </w:p>
    <w:p>
      <w:pPr/>
      <w:r>
        <w:rPr/>
        <w:t xml:space="preserve">محمد بن عمر بن أبي بكر بن محمد بن مسعود محمد بن عمر بن أبي بكر بن محمد بن مسعود بن شاتيل المجدلي ثم الصالحي المعروف بالخابوري الشافعي سمع من الفخر والتقى الواسطي وغيرهما وحدث تحول قبل موته إلى صفد فمات بها في ثاني جمادى الآخرة سنة 755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أبي بكر بن محمود بن مسعود
</w:t>
      </w:r>
    </w:p>
    <w:p>
      <w:pPr/>
      <w:r>
        <w:rPr/>
        <w:t xml:space="preserve">محمد بن عمر بن أبي بكر بن محمود بن مسعود محمد بن عمر بن أبي بكر بن محمود بن مسعود بن تاشيل المجدلى الخابورى الأصل الدمشقى ولدسنة 675 وسمع على الفخر على والتقي الواسطي وغيرهما وحدث سمع منه أبو الفضل شيخنا جزء المهندري أخذ عنه ابن رافع وجماعة وكان يؤم بتربة الجيبغا وكان مقرئا خيرا أقام بالصالحية مدة ثم توجه إلى صفد فاتفق موته بها في جمادى الآخرة سنة 755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2026-06-13T16:38:29+03:00</dcterms:created>
  <dcterms:modified xsi:type="dcterms:W3CDTF">2026-06-13T16:38:29+03:00</dcterms:modified>
</cp:coreProperties>
</file>

<file path=docProps/custom.xml><?xml version="1.0" encoding="utf-8"?>
<Properties xmlns="http://schemas.openxmlformats.org/officeDocument/2006/custom-properties" xmlns:vt="http://schemas.openxmlformats.org/officeDocument/2006/docPropsVTypes"/>
</file>