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السادجى العجمي
</w:t>
      </w:r>
    </w:p>
    <w:p>
      <w:pPr>
        <w:jc w:val="start"/>
        <w:bidi/>
      </w:pPr>
      <w:r>
        <w:rPr>
          <w:rFonts w:ascii="arial" w:hAnsi="arial" w:eastAsia="arial" w:cs="arial"/>
          <w:sz w:val="28"/>
          <w:szCs w:val="28"/>
          <w:b w:val="1"/>
          <w:bCs w:val="1"/>
          <w:rtl/>
        </w:rPr>
        <w:t xml:space="preserve">محمد بن علي السادجى العجمي
</w:t>
      </w:r>
    </w:p>
    <w:p>
      <w:pPr/>
      <w:r>
        <w:rPr/>
        <w:t xml:space="preserve">محمد بن علي السادجى العجمي محمد بن علي السادجى العجمي كان من الكبار بالعراق وأنشأ ببغداد جامعا غرم عليه ألف ألف وغضب عليه خربتدا فأمر بقتله وقتل الوزير مبارك شاه ويحى بن إبراهيم ابن صاحب سنجار فقتلوا جميعا في شوال سنة 711 بسبب أن الشريف تاج الدين رفع عليهم عند خربتدا انهم توطؤا على قتله ويقال أن الساوجي حين قدم للقتل صلى ركعتين وودع أهله وثبت للقتل وخلع فرجيته على قاتله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2026-06-13T18:38:31+03:00</dcterms:created>
  <dcterms:modified xsi:type="dcterms:W3CDTF">2026-06-13T18:38:31+03:00</dcterms:modified>
</cp:coreProperties>
</file>

<file path=docProps/custom.xml><?xml version="1.0" encoding="utf-8"?>
<Properties xmlns="http://schemas.openxmlformats.org/officeDocument/2006/custom-properties" xmlns:vt="http://schemas.openxmlformats.org/officeDocument/2006/docPropsVTypes"/>
</file>