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يوسف بن إدريس الدمياطي الحراوي ناصر الدين الطبردار
</w:t>
      </w:r>
    </w:p>
    <w:p>
      <w:pPr>
        <w:jc w:val="start"/>
        <w:bidi/>
      </w:pPr>
      <w:r>
        <w:rPr>
          <w:rFonts w:ascii="arial" w:hAnsi="arial" w:eastAsia="arial" w:cs="arial"/>
          <w:sz w:val="28"/>
          <w:szCs w:val="28"/>
          <w:b w:val="1"/>
          <w:bCs w:val="1"/>
          <w:rtl/>
        </w:rPr>
        <w:t xml:space="preserve">محمد بن علي بن يوسف بن إدريس الدمياطي الحراوي ناصر الدين الطبردار
</w:t>
      </w:r>
    </w:p>
    <w:p>
      <w:pPr/>
      <w:r>
        <w:rPr/>
        <w:t xml:space="preserve">محمد بن علي بن يوسف بن إدريس الدمياطي الحراوي ناصر الدين الطبردار محمد بن علي بن يوسف بن إدريس الدمياطي الحراوي ناصر الدين الطبردار ولد بدمياط سنة 687 وسمع بإفادة خاله العماد الدمياطي من الحافظ شرف الدين الدمياطي كتاب الخيل له وفضل العلم للمرهبي وتفرد بالسماع منه وسمع أيضا من علي بن عيسى القيم وحسن بن عمر الكردي وغيرهما وحدث بالكثير وعمر ومات بالقاهرة في رجب سنة 788 وكان خيرا صالحا يلبس بزي الجند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2026-06-10T02:30:57+03:00</dcterms:created>
  <dcterms:modified xsi:type="dcterms:W3CDTF">2026-06-10T02:30:57+03:00</dcterms:modified>
</cp:coreProperties>
</file>

<file path=docProps/custom.xml><?xml version="1.0" encoding="utf-8"?>
<Properties xmlns="http://schemas.openxmlformats.org/officeDocument/2006/custom-properties" xmlns:vt="http://schemas.openxmlformats.org/officeDocument/2006/docPropsVTypes"/>
</file>