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يوسف الأسنوي كمال الدين الأطروش
</w:t>
      </w:r>
    </w:p>
    <w:p>
      <w:pPr>
        <w:jc w:val="start"/>
        <w:bidi/>
      </w:pPr>
      <w:r>
        <w:rPr>
          <w:rFonts w:ascii="arial" w:hAnsi="arial" w:eastAsia="arial" w:cs="arial"/>
          <w:sz w:val="28"/>
          <w:szCs w:val="28"/>
          <w:b w:val="1"/>
          <w:bCs w:val="1"/>
          <w:rtl/>
        </w:rPr>
        <w:t xml:space="preserve">محمد بن علي بن يوسف الأسنوي كمال الدين الأطروش
</w:t>
      </w:r>
    </w:p>
    <w:p>
      <w:pPr/>
      <w:r>
        <w:rPr/>
        <w:t xml:space="preserve">محمد بن علي بن يوسف الأسنوي كمال الدين الأطروش محمد بن علي بن يوسف الأسنوي كمال الدين الأطروش ولد سنة ونشأ بها وحفظ التعجيز في الفقه وكان يستحضر مسائله وكتب عليه شرحا حسنا وقدم القاهرة فناب في الحكم طويلا وكان عالما صالحا ذا مهابة وصيانة وعفة وديانة مشددا في أحكامه كتب على قصة رفعت إليه في يلبغا وهو يومئذ مدبر المملكة ليحضر فتوجه بها الرسول إلى يلبغا فاستشاط ثم سأل عنه فأثنوا عليه فركب إليه فترضاه والقصة مشهورة عند المصريين وكان يقرر الكافية الشافية تقريرا حسنا وكذلك المنهاج في أصول الفقه وأخذ النحو عن أبي الحسن الأندلسى الملقن والد شيخنا سراج الدين ورحل إلى الخليل فأخذ عن الشيخ برهان الدين الجعبري محفوظه وهو التعجيز وكان الشيخ يرويه عن مصنفه وكان ملازما لبيته لا يتردد إلى واحد وثقل سمعه فصار يعرف بالأطروش ومات في شهر ربيع الأول سنة 784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2026-06-10T02:29:54+03:00</dcterms:created>
  <dcterms:modified xsi:type="dcterms:W3CDTF">2026-06-10T02:29:54+03:00</dcterms:modified>
</cp:coreProperties>
</file>

<file path=docProps/custom.xml><?xml version="1.0" encoding="utf-8"?>
<Properties xmlns="http://schemas.openxmlformats.org/officeDocument/2006/custom-properties" xmlns:vt="http://schemas.openxmlformats.org/officeDocument/2006/docPropsVTypes"/>
</file>