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العرادي القيسي الغرناطي
</w:t>
      </w:r>
    </w:p>
    <w:p>
      <w:pPr>
        <w:jc w:val="start"/>
        <w:bidi/>
      </w:pPr>
      <w:r>
        <w:rPr>
          <w:rFonts w:ascii="arial" w:hAnsi="arial" w:eastAsia="arial" w:cs="arial"/>
          <w:sz w:val="28"/>
          <w:szCs w:val="28"/>
          <w:b w:val="1"/>
          <w:bCs w:val="1"/>
          <w:rtl/>
        </w:rPr>
        <w:t xml:space="preserve">محمد بن علي بن محمد العرادي القيسي الغرناطي
</w:t>
      </w:r>
    </w:p>
    <w:p>
      <w:pPr/>
      <w:r>
        <w:rPr/>
        <w:t xml:space="preserve">محمد بن علي بن محمد العرادي القيسي الغرناطي محمد بن علي بن محمد العرادي القيسي الغرناطي قال ابن الخطيب كان دمث الأخلاق حسن الخط وأبوه من تجار سوق العطر فتعانى هو الأدب فجاء منه العجب استرسالا وسهولة واقتدارا فخدم بدار السلطان لكنه اخترمته المنية شابا فمن شعره قصيدة اولها</w:t>
      </w:r>
    </w:p>
    <w:p/>
    <w:p>
      <w:pPr>
        <w:jc w:val="center"/>
      </w:pPr>
      <w:r>
        <w:rPr>
          <w:color w:val="ff0000"/>
        </w:rPr>
        <w:t xml:space="preserve">شفاء صدائي ام تلك المنامل</w:t>
      </w:r>
      <w:r>
        <w:rPr>
          <w:color w:val="ff0000"/>
        </w:rPr>
        <w:t xml:space="preserve">      </w:t>
      </w:r>
      <w:r>
        <w:rPr>
          <w:color w:val="ff0000"/>
        </w:rPr>
        <w:t xml:space="preserve">وري غليلي أم تلك الغلائل</w:t>
      </w:r>
    </w:p>
    <w:p/>
    <w:p>
      <w:pPr/>
      <w:r>
        <w:rPr/>
        <w:t xml:space="preserve">وكانت وفاته مبطونا في سنة 755 وله أربع وعشرون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2026-06-10T02:29:02+03:00</dcterms:created>
  <dcterms:modified xsi:type="dcterms:W3CDTF">2026-06-10T02:29:02+03:00</dcterms:modified>
</cp:coreProperties>
</file>

<file path=docProps/custom.xml><?xml version="1.0" encoding="utf-8"?>
<Properties xmlns="http://schemas.openxmlformats.org/officeDocument/2006/custom-properties" xmlns:vt="http://schemas.openxmlformats.org/officeDocument/2006/docPropsVTypes"/>
</file>