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يوسف الحضرمي القرطبي
</w:t>
      </w:r>
    </w:p>
    <w:p>
      <w:pPr>
        <w:jc w:val="start"/>
        <w:bidi/>
      </w:pPr>
      <w:r>
        <w:rPr>
          <w:rFonts w:ascii="arial" w:hAnsi="arial" w:eastAsia="arial" w:cs="arial"/>
          <w:sz w:val="28"/>
          <w:szCs w:val="28"/>
          <w:b w:val="1"/>
          <w:bCs w:val="1"/>
          <w:rtl/>
        </w:rPr>
        <w:t xml:space="preserve">محمد بن علي بن محمد بن يوسف الحضرمي القرطبي
</w:t>
      </w:r>
    </w:p>
    <w:p>
      <w:pPr/>
      <w:r>
        <w:rPr/>
        <w:t xml:space="preserve">محمد بن علي بن محمد بن يوسف الحضرمي القرطبي محمد بن علي بن محمد بن يوسف الحضرمي القرطبي نزيل غرناطة قال ابن الخطيب أخذ عن أبي عامر ربيع وأجاز له سهل بن مالك الغرناطي وأبو الحسن الساري وغيرهما وولي اختزان الدار السلطانية ثم ترقى إلى الوكالة ولم يتلبس بشيء من الأدناس ولا فارق التقشف والاقتصاد ومات سنة 732 وله اثنان وثمانون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2026-06-10T02:29:01+03:00</dcterms:created>
  <dcterms:modified xsi:type="dcterms:W3CDTF">2026-06-10T02:29:01+03:00</dcterms:modified>
</cp:coreProperties>
</file>

<file path=docProps/custom.xml><?xml version="1.0" encoding="utf-8"?>
<Properties xmlns="http://schemas.openxmlformats.org/officeDocument/2006/custom-properties" xmlns:vt="http://schemas.openxmlformats.org/officeDocument/2006/docPropsVTypes"/>
</file>