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عمر العبذرى الشاطبي الأصل التونسي
</w:t>
      </w:r>
    </w:p>
    <w:p>
      <w:pPr>
        <w:jc w:val="start"/>
        <w:bidi/>
      </w:pPr>
      <w:r>
        <w:rPr>
          <w:rFonts w:ascii="arial" w:hAnsi="arial" w:eastAsia="arial" w:cs="arial"/>
          <w:sz w:val="28"/>
          <w:szCs w:val="28"/>
          <w:b w:val="1"/>
          <w:bCs w:val="1"/>
          <w:rtl/>
        </w:rPr>
        <w:t xml:space="preserve">محمد بن علي بن عمر العبذرى الشاطبي الأصل التونسي
</w:t>
      </w:r>
    </w:p>
    <w:p>
      <w:pPr/>
      <w:r>
        <w:rPr/>
        <w:t xml:space="preserve">محمد بن علي بن عمر العبذرى الشاطبي الأصل التونسي محمد بن علي بن عمر العبذرى الشاطبي الأصل التونسي قال ابن الخطيب كان فاضلا من أبناء النعم ولي أبوه الحجابة فلما نكب لحق ولده بالمشرق فحج ورجع فدخل الأندلس يكتب ويشعر ثم رجع إلى تونس وقلد خطة العلامة بها ومن نظمه في أبي الحسن السلطان من قصيدة</w:t>
      </w:r>
    </w:p>
    <w:p/>
    <w:p>
      <w:pPr>
        <w:jc w:val="center"/>
      </w:pPr>
      <w:r>
        <w:rPr>
          <w:color w:val="ff0000"/>
        </w:rPr>
        <w:t xml:space="preserve">طلعت بأفق الغرب شمسا منيرة</w:t>
      </w:r>
      <w:r>
        <w:rPr>
          <w:color w:val="ff0000"/>
        </w:rPr>
        <w:t xml:space="preserve">      </w:t>
      </w:r>
      <w:r>
        <w:rPr>
          <w:color w:val="ff0000"/>
        </w:rPr>
        <w:t xml:space="preserve">أنار على كل البلاد محياها</w:t>
      </w:r>
    </w:p>
    <w:p/>
    <w:p>
      <w:pPr/>
      <w:r>
        <w:rPr/>
        <w:t xml:space="preserve">أظنه مات قبل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2026-06-13T18:48:15+03:00</dcterms:created>
  <dcterms:modified xsi:type="dcterms:W3CDTF">2026-06-13T18:48:15+03:00</dcterms:modified>
</cp:coreProperties>
</file>

<file path=docProps/custom.xml><?xml version="1.0" encoding="utf-8"?>
<Properties xmlns="http://schemas.openxmlformats.org/officeDocument/2006/custom-properties" xmlns:vt="http://schemas.openxmlformats.org/officeDocument/2006/docPropsVTypes"/>
</file>