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صالح المصري جمال الدين
</w:t>
      </w:r>
    </w:p>
    <w:p>
      <w:pPr>
        <w:jc w:val="start"/>
        <w:bidi/>
      </w:pPr>
      <w:r>
        <w:rPr>
          <w:rFonts w:ascii="arial" w:hAnsi="arial" w:eastAsia="arial" w:cs="arial"/>
          <w:sz w:val="28"/>
          <w:szCs w:val="28"/>
          <w:b w:val="1"/>
          <w:bCs w:val="1"/>
          <w:rtl/>
        </w:rPr>
        <w:t xml:space="preserve">محمد بن علي بن صالح المصري جمال الدين
</w:t>
      </w:r>
    </w:p>
    <w:p>
      <w:pPr/>
      <w:r>
        <w:rPr/>
        <w:t xml:space="preserve">محمد بن علي بن صالح المصري جمال الدين محمد بن علي بن صالح المصري جمال الدين ولد بعد العشرين وقرأ على الداعي الرشيدي بطرق المنهج وقرأ بالروايات على الكمال الضرير ورحل إلى العراق ثم قدم دمشق فقطنها وأم بمسجد الأشراف وكان خازن كتب البادرائية ويلقن جماعة القرآن ومات في رجب سنة 701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2026-06-13T20:07:35+03:00</dcterms:created>
  <dcterms:modified xsi:type="dcterms:W3CDTF">2026-06-13T20:07:35+03:00</dcterms:modified>
</cp:coreProperties>
</file>

<file path=docProps/custom.xml><?xml version="1.0" encoding="utf-8"?>
<Properties xmlns="http://schemas.openxmlformats.org/officeDocument/2006/custom-properties" xmlns:vt="http://schemas.openxmlformats.org/officeDocument/2006/docPropsVTypes"/>
</file>