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المرواني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المرواني
</w:t>
      </w:r>
    </w:p>
    <w:p>
      <w:pPr/>
      <w:r>
        <w:rPr/>
        <w:t xml:space="preserve">محمد بن علي بن الحسن المرواني محمد بن علي بن الحسن المرواني كان أبوه والي القاهرة وهو والي مصر ثم ولي طبلخاناة بدمشق وكان محتشما متوددا مات بعد الخمسين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2026-06-13T20:02:45+03:00</dcterms:created>
  <dcterms:modified xsi:type="dcterms:W3CDTF">2026-06-13T20:02:45+03:00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