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أبي بكر بن بجير الحنفي
</w:t>
      </w:r>
    </w:p>
    <w:p>
      <w:pPr>
        <w:jc w:val="start"/>
        <w:bidi/>
      </w:pPr>
      <w:r>
        <w:rPr>
          <w:rFonts w:ascii="arial" w:hAnsi="arial" w:eastAsia="arial" w:cs="arial"/>
          <w:sz w:val="28"/>
          <w:szCs w:val="28"/>
          <w:b w:val="1"/>
          <w:bCs w:val="1"/>
          <w:rtl/>
        </w:rPr>
        <w:t xml:space="preserve">محمد بن علي بن أبي بكر بن بجير الحنفي
</w:t>
      </w:r>
    </w:p>
    <w:p>
      <w:pPr/>
      <w:r>
        <w:rPr/>
        <w:t xml:space="preserve">محمد بن علي بن أبي بكر بن بجير الحنفي محمد بن علي بن أبي بكر بن بجير الحنفي سمع من الفخر سمع منه الذهبي وابن رافع وقال كان أحد الشهود بمركز الشركسية جيدا ساكنا وله تربة يقرأ فيها وعائلة من بناته وأولادهن وعنده قناعة وعفة مات في صفر سنة 736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2026-06-13T20:09:16+03:00</dcterms:created>
  <dcterms:modified xsi:type="dcterms:W3CDTF">2026-06-13T20:09:16+03:00</dcterms:modified>
</cp:coreProperties>
</file>

<file path=docProps/custom.xml><?xml version="1.0" encoding="utf-8"?>
<Properties xmlns="http://schemas.openxmlformats.org/officeDocument/2006/custom-properties" xmlns:vt="http://schemas.openxmlformats.org/officeDocument/2006/docPropsVTypes"/>
</file>