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أحمد بن الأغر السهروردي البكري الحنفي
</w:t>
      </w:r>
    </w:p>
    <w:p>
      <w:pPr>
        <w:jc w:val="start"/>
        <w:bidi/>
      </w:pPr>
      <w:r>
        <w:rPr>
          <w:rFonts w:ascii="arial" w:hAnsi="arial" w:eastAsia="arial" w:cs="arial"/>
          <w:sz w:val="28"/>
          <w:szCs w:val="28"/>
          <w:b w:val="1"/>
          <w:bCs w:val="1"/>
          <w:rtl/>
        </w:rPr>
        <w:t xml:space="preserve">محمد بن علي بن أحمد بن الأغر السهروردي البكري الحنفي
</w:t>
      </w:r>
    </w:p>
    <w:p>
      <w:pPr/>
      <w:r>
        <w:rPr/>
        <w:t xml:space="preserve">محمد بن علي بن أحمد بن الأغر السهروردي البكري الحنفي محمد بن علي بن أحمد بن الأغر السهروردي البكري الحنفي البغدادي ولد في رجب سنة 686 وسمع من الرشيد بن أبي القاسم العوارف للسهروردي ومشيخة السهروردي ولبس منه الخرقة - كله عن السهروردي وأجاز له جماعة ومات ببغداد سنة ستين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2026-06-13T23:25:14+03:00</dcterms:created>
  <dcterms:modified xsi:type="dcterms:W3CDTF">2026-06-13T23:25:14+03:00</dcterms:modified>
</cp:coreProperties>
</file>

<file path=docProps/custom.xml><?xml version="1.0" encoding="utf-8"?>
<Properties xmlns="http://schemas.openxmlformats.org/officeDocument/2006/custom-properties" xmlns:vt="http://schemas.openxmlformats.org/officeDocument/2006/docPropsVTypes"/>
</file>