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بن هبة الله بن عمر المعري ناصر الدين
</w:t>
      </w:r>
    </w:p>
    <w:p>
      <w:pPr>
        <w:jc w:val="start"/>
        <w:bidi/>
      </w:pPr>
      <w:r>
        <w:rPr>
          <w:rFonts w:ascii="arial" w:hAnsi="arial" w:eastAsia="arial" w:cs="arial"/>
          <w:sz w:val="28"/>
          <w:szCs w:val="28"/>
          <w:b w:val="1"/>
          <w:bCs w:val="1"/>
          <w:rtl/>
        </w:rPr>
        <w:t xml:space="preserve">محمد بن عثمان بن هبة الله بن عمر المعري ناصر الدين
</w:t>
      </w:r>
    </w:p>
    <w:p>
      <w:pPr/>
      <w:r>
        <w:rPr/>
        <w:t xml:space="preserve">محمد بن عثمان بن هبة الله بن عمر المعري ناصر الدين محمد بن عثمان بن هبة الله بن عمر المعري ناصر الدين كان ينوب عن أخيه كمال الدين المعري في الحكم ومات في صفر سنة 766 وله خمسون سنة وكان خرج ليلتقي القاضي بحلب كمال الدين لما عاد من الحجاز فمات في الطريق وهو راجع إلى حلب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2026-06-13T21:35:28+03:00</dcterms:created>
  <dcterms:modified xsi:type="dcterms:W3CDTF">2026-06-13T21:35:28+03:00</dcterms:modified>
</cp:coreProperties>
</file>

<file path=docProps/custom.xml><?xml version="1.0" encoding="utf-8"?>
<Properties xmlns="http://schemas.openxmlformats.org/officeDocument/2006/custom-properties" xmlns:vt="http://schemas.openxmlformats.org/officeDocument/2006/docPropsVTypes"/>
</file>