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موسى بن عبد الله بن محمد الآمدي الأصل
</w:t>
      </w:r>
    </w:p>
    <w:p>
      <w:pPr>
        <w:jc w:val="start"/>
        <w:bidi/>
      </w:pPr>
      <w:r>
        <w:rPr>
          <w:rFonts w:ascii="arial" w:hAnsi="arial" w:eastAsia="arial" w:cs="arial"/>
          <w:sz w:val="28"/>
          <w:szCs w:val="28"/>
          <w:b w:val="1"/>
          <w:bCs w:val="1"/>
          <w:rtl/>
        </w:rPr>
        <w:t xml:space="preserve">محمد بن عثمان بن موسى بن عبد الله بن محمد الآمدي الأصل
</w:t>
      </w:r>
    </w:p>
    <w:p>
      <w:pPr/>
      <w:r>
        <w:rPr/>
        <w:t xml:space="preserve">محمد بن عثمان بن موسى بن عبد الله بن محمد الآمدي الأصل محمد بن عثمان بن موسى بن عبد الله بن محمد الآمدي الأصل ثم المكي أبو الفضل جمال الدين الحنبلي ولد بمكة سنة 659 وسمع من أبيه وجماعة وحدث سمع منه الأقشهري وكان إمام مقام الحنابلة واستقر بعد أبيه وناب في الحكم عن قاضي مكة ومات في عشرى جمادى الآخرة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موسى بن عبد الله الآمدي ثم المكي القاضي جمال الدين الحنبلي
</w:t>
      </w:r>
    </w:p>
    <w:p>
      <w:pPr/>
      <w:r>
        <w:rPr/>
        <w:t xml:space="preserve">محمد بن عثمان بن موسى بن عبد الله الآمدي، ثم المكي القاضي جمال الدين الحنبلي: </w:t>
      </w:r>
    </w:p>
    <w:p/>
    <w:p>
      <w:pPr/>
      <w:r>
        <w:rPr/>
        <w:t xml:space="preserve">إمام الحنابلة بالحرم الشريف. أجاز له التاج عبد الوهاب بن عساكر، وابن مسدى، وسليمان بن خليل، ويعقوب الطبري، وابن مضر الواسطي، وأحمد بن عبد الدايم، وجماعة.</w:t>
      </w:r>
    </w:p>
    <w:p/>
    <w:p>
      <w:pPr/>
      <w:r>
        <w:rPr/>
        <w:t xml:space="preserve">وسمع من أبي اليمن بن عساكر: صحيح البخاري، ورواه عن أبيه عن ابن أبي حرمى.</w:t>
      </w:r>
    </w:p>
    <w:p/>
    <w:p>
      <w:pPr/>
      <w:r>
        <w:rPr/>
        <w:t xml:space="preserve">وسمع على أبيه: صحيح مسلم، بفوت شملته الإجازة، عن المرسى.</w:t>
      </w:r>
    </w:p>
    <w:p/>
    <w:p>
      <w:pPr/>
      <w:r>
        <w:rPr/>
        <w:t xml:space="preserve">وسمع على المحب الطبري: سنن أبي داود بفوت من أولها، إلى كتاب المسح على الخفين، وسنن النسائي، وكتابه: الرياض النضرة.</w:t>
      </w:r>
    </w:p>
    <w:p/>
    <w:p>
      <w:pPr/>
      <w:r>
        <w:rPr/>
        <w:t xml:space="preserve">وسمع ببغداد من الرشيد بن أبي القاسم: مسند الشافعي وصحيح البخاري، وسمع بدمشق على جماعة، وحدث.</w:t>
      </w:r>
    </w:p>
    <w:p/>
    <w:p>
      <w:pPr/>
      <w:r>
        <w:rPr/>
        <w:t xml:space="preserve">سمع منه الآقشهرى وغير واحد من شيوخنا، وروى لنا بعضهم عنه.</w:t>
      </w:r>
    </w:p>
    <w:p/>
    <w:p>
      <w:pPr/>
      <w:r>
        <w:rPr/>
        <w:t xml:space="preserve">وناب في الحكم بمكة، عن القاضي نجم الدين الطبري، وابنه القاضي شهاب الدين، وباشر الحسبة بمكة - على ما بلغني - وما عرفت هل ذلك نيابة أو استقلالا، وكان فيه صرامة، وله همة.</w:t>
      </w:r>
    </w:p>
    <w:p/>
    <w:p>
      <w:pPr/>
      <w:r>
        <w:rPr/>
        <w:t xml:space="preserve">وكان خلف أباه في الإمامة، حتى توفى في ضحوة يوم الأحد العشرين من جمادى الآخرة، سنة إحدى وثلاثين وسبعمائة بمكة. ودفن بعد العصر بالمعلاة.</w:t>
      </w:r>
    </w:p>
    <w:p/>
    <w:p>
      <w:pPr/>
      <w:r>
        <w:rPr/>
        <w:t xml:space="preserve">وكانت ولايته للإمامة سبعا وخمسين سنة، ونحو نصف سنة.</w:t>
      </w:r>
    </w:p>
    <w:p/>
    <w:p>
      <w:pPr/>
      <w:r>
        <w:rPr/>
        <w:t xml:space="preserve">نقلت وفاته من خط الآقشهرى. ووجدت بخطه في نسبه: القرشي الفهري.</w:t>
      </w:r>
    </w:p>
    <w:p/>
    <w:p>
      <w:pPr/>
      <w:r>
        <w:rPr/>
        <w:t xml:space="preserve">ووجدت بخط بعض العصريين حكاية عن أبيه، وقال في تعريفه: الطائى.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2026-06-13T21:33:00+03:00</dcterms:created>
  <dcterms:modified xsi:type="dcterms:W3CDTF">2026-06-13T21:33:00+03:00</dcterms:modified>
</cp:coreProperties>
</file>

<file path=docProps/custom.xml><?xml version="1.0" encoding="utf-8"?>
<Properties xmlns="http://schemas.openxmlformats.org/officeDocument/2006/custom-properties" xmlns:vt="http://schemas.openxmlformats.org/officeDocument/2006/docPropsVTypes"/>
</file>