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محمد الأصبهاني شمس الدين ابن العجمي
</w:t>
      </w:r>
    </w:p>
    <w:p>
      <w:pPr>
        <w:jc w:val="start"/>
        <w:bidi/>
      </w:pPr>
      <w:r>
        <w:rPr>
          <w:rFonts w:ascii="arial" w:hAnsi="arial" w:eastAsia="arial" w:cs="arial"/>
          <w:sz w:val="28"/>
          <w:szCs w:val="28"/>
          <w:b w:val="1"/>
          <w:bCs w:val="1"/>
          <w:rtl/>
        </w:rPr>
        <w:t xml:space="preserve">محمد بن عثمان بن محمد الأصبهاني شمس الدين ابن العجمي
</w:t>
      </w:r>
    </w:p>
    <w:p>
      <w:pPr/>
      <w:r>
        <w:rPr/>
        <w:t xml:space="preserve">محمد بن عثمان بن محمد الأصبهاني شمس الدين ابن العجمي محمد بن عثمان بن محمد الأصبهاني شمس الدين ابن العجمي درس بالإقبالية وحدث عن الفخر ابن البخاري بمشيخته وكان منجمعا عن الناس جمع منسكا على مذهب الحنفية وكان موسوسا في الطهارة مات في شوال سنة 734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2026-06-13T23:25:13+03:00</dcterms:created>
  <dcterms:modified xsi:type="dcterms:W3CDTF">2026-06-13T23:25:13+03:00</dcterms:modified>
</cp:coreProperties>
</file>

<file path=docProps/custom.xml><?xml version="1.0" encoding="utf-8"?>
<Properties xmlns="http://schemas.openxmlformats.org/officeDocument/2006/custom-properties" xmlns:vt="http://schemas.openxmlformats.org/officeDocument/2006/docPropsVTypes"/>
</file>