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محمد بن عثمان
</w:t>
      </w:r>
    </w:p>
    <w:p>
      <w:pPr>
        <w:jc w:val="start"/>
        <w:bidi/>
      </w:pPr>
      <w:r>
        <w:rPr>
          <w:rFonts w:ascii="arial" w:hAnsi="arial" w:eastAsia="arial" w:cs="arial"/>
          <w:sz w:val="28"/>
          <w:szCs w:val="28"/>
          <w:b w:val="1"/>
          <w:bCs w:val="1"/>
          <w:rtl/>
        </w:rPr>
        <w:t xml:space="preserve">محمد بن عثمان بن محمد بن عثمان
</w:t>
      </w:r>
    </w:p>
    <w:p>
      <w:pPr/>
      <w:r>
        <w:rPr/>
        <w:t xml:space="preserve">محمد بن عثمان بن محمد بن عثمان محمد بن عثمان بن محمد بن عثمان بن عثمان بن أبي بكر بن محمد ابن داود التوزري جمال الدين أبو البركات بن الشيخ فخر الدين ولد في رجب سنة 662 وسمع من العز الحرانى وجماعة من مشايخ علي وأحضر والده ابن البن وابن العماد وأحمد بن شجاع بن ضرغام في الثالثة وفي الرابعة على العز الحراني وأسمع عليه وعلى غازي الحلاوي وابن خطيب المزة والأنماطي والحمدي القطب القسطلاني سمع عليه العوارف وسكن القاهرة بعد موت أبيه وحدثنا عنه أبو الفرج ابن الغزي بالسماع وسمع منه شيخنا أبو بكر بن الحسين ومات في العشرين من شوال سنة بعد أخته أم الخير خديجة وكان خيرا حسن الأخلاق محبا في أهل الحديث يتكسب بالشهادة وكان يعرف بعض مسموعاته وحدث عن البوصيري بالقصيدة الميمية التي يقال لها البردة في المدح النبوي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2026-06-13T23:08:07+03:00</dcterms:created>
  <dcterms:modified xsi:type="dcterms:W3CDTF">2026-06-13T23:08:07+03:00</dcterms:modified>
</cp:coreProperties>
</file>

<file path=docProps/custom.xml><?xml version="1.0" encoding="utf-8"?>
<Properties xmlns="http://schemas.openxmlformats.org/officeDocument/2006/custom-properties" xmlns:vt="http://schemas.openxmlformats.org/officeDocument/2006/docPropsVTypes"/>
</file>