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عثمان بن أحمد بن عمرو بن أحمد بن هرماس
</w:t>
      </w:r>
    </w:p>
    <w:p>
      <w:pPr>
        <w:jc w:val="start"/>
        <w:bidi/>
      </w:pPr>
      <w:r>
        <w:rPr>
          <w:rFonts w:ascii="arial" w:hAnsi="arial" w:eastAsia="arial" w:cs="arial"/>
          <w:sz w:val="28"/>
          <w:szCs w:val="28"/>
          <w:b w:val="1"/>
          <w:bCs w:val="1"/>
          <w:rtl/>
        </w:rPr>
        <w:t xml:space="preserve">محمد بن عثمان بن أحمد بن عمرو بن أحمد بن هرماس
</w:t>
      </w:r>
    </w:p>
    <w:p>
      <w:pPr/>
      <w:r>
        <w:rPr/>
        <w:t xml:space="preserve">محمد بن عثمان بن أحمد بن عمرو بن أحمد بن هرماس محمد بن عثمان بن أحمد بن عمرو بن أحمد بن هرماس بن نجاء ابن مشرف بن محمد بن ورقة البعلي الزرعي نجم الدين ابن فخر الدين بن شمرموخ ولي قضاء حلب سنة خمسين ثم عزل ثم أعيد أثنى عليه ابن حبيب مات في ذي القعدة سنة 757 وقد جاوز الستين وهو أخو علاء الدين ابن شمرنوخ الماضي ذكره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2026-06-13T23:16:09+03:00</dcterms:created>
  <dcterms:modified xsi:type="dcterms:W3CDTF">2026-06-13T23:16:09+03:00</dcterms:modified>
</cp:coreProperties>
</file>

<file path=docProps/custom.xml><?xml version="1.0" encoding="utf-8"?>
<Properties xmlns="http://schemas.openxmlformats.org/officeDocument/2006/custom-properties" xmlns:vt="http://schemas.openxmlformats.org/officeDocument/2006/docPropsVTypes"/>
</file>