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عبد النور بن منير بن عبد الكريم بن علي
</w:t>
      </w:r>
    </w:p>
    <w:p>
      <w:pPr>
        <w:jc w:val="start"/>
        <w:bidi/>
      </w:pPr>
      <w:r>
        <w:rPr>
          <w:rFonts w:ascii="arial" w:hAnsi="arial" w:eastAsia="arial" w:cs="arial"/>
          <w:sz w:val="28"/>
          <w:szCs w:val="28"/>
          <w:b w:val="1"/>
          <w:bCs w:val="1"/>
          <w:rtl/>
        </w:rPr>
        <w:t xml:space="preserve">محمد بن عبد الكريم بن عبد النور بن منير بن عبد الكريم بن علي
</w:t>
      </w:r>
    </w:p>
    <w:p>
      <w:pPr/>
      <w:r>
        <w:rPr/>
        <w:t xml:space="preserve">محمد بن عبد الكريم بن عبد النور بن منير بن عبد الكريم بن علي محمد بن عبد الكريم بن عبد النور بن منير بن عبد الكريم بن علي ابن عبد الحق بن عبد الصمد بن عبد النور الحلبي ثم المصري تقي الدين ابن الحافظ قطب الدين الحلبي ولد في رجب سنة 711 واحضر على الحسن ابن عمر الكندي وسمع من العلم ابن درادة الناسخ والمنسوخ لأبي داود وجزء أبي يعلى الخليلي واشتقاق الأسماء للخلال ومن ست الوزراء وابن الشحنة واشتغل بالحديث وزاد في المحمدين من تاريخ والده كثيرا وخرج للبدر الفاروقي مشيخة وسمع من جماعة فاختصرت ومات بالقاهرة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2026-06-14T01:11:27+03:00</dcterms:created>
  <dcterms:modified xsi:type="dcterms:W3CDTF">2026-06-14T01:11:27+03:00</dcterms:modified>
</cp:coreProperties>
</file>

<file path=docProps/custom.xml><?xml version="1.0" encoding="utf-8"?>
<Properties xmlns="http://schemas.openxmlformats.org/officeDocument/2006/custom-properties" xmlns:vt="http://schemas.openxmlformats.org/officeDocument/2006/docPropsVTypes"/>
</file>