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الغفار بن عبد الكريم
</w:t>
      </w:r>
    </w:p>
    <w:p>
      <w:pPr>
        <w:jc w:val="start"/>
        <w:bidi/>
      </w:pPr>
      <w:r>
        <w:rPr>
          <w:rFonts w:ascii="arial" w:hAnsi="arial" w:eastAsia="arial" w:cs="arial"/>
          <w:sz w:val="28"/>
          <w:szCs w:val="28"/>
          <w:b w:val="1"/>
          <w:bCs w:val="1"/>
          <w:rtl/>
        </w:rPr>
        <w:t xml:space="preserve">محمد بن عبد الغفار بن عبد الكريم
</w:t>
      </w:r>
    </w:p>
    <w:p>
      <w:pPr/>
      <w:r>
        <w:rPr/>
        <w:t xml:space="preserve">محمد بن عبد الغفار بن عبد الكريم محمد بن عبد الغفار بن عبد الكريم بن عبد الغفار القزويني الشافعي جلال الدين ولد نجم الدين صاحب الحاوي مات سنة 709 وله صنف أبوه الحاوي اختصره من الرافعي الكبير فحفظه جلال الدين محمد وأقرأه وكان لأبيه إجازة من عفيفة الفارقانية وغيرها ومات سنة 655 وقد قارب الثمانين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2026-06-14T00:58:53+03:00</dcterms:created>
  <dcterms:modified xsi:type="dcterms:W3CDTF">2026-06-14T00:58:53+03:00</dcterms:modified>
</cp:coreProperties>
</file>

<file path=docProps/custom.xml><?xml version="1.0" encoding="utf-8"?>
<Properties xmlns="http://schemas.openxmlformats.org/officeDocument/2006/custom-properties" xmlns:vt="http://schemas.openxmlformats.org/officeDocument/2006/docPropsVTypes"/>
</file>