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الرحيم بن محمد بن عبد القاهر بن هبة الله
</w:t>
      </w:r>
    </w:p>
    <w:p>
      <w:pPr>
        <w:jc w:val="start"/>
        <w:bidi/>
      </w:pPr>
      <w:r>
        <w:rPr>
          <w:rFonts w:ascii="arial" w:hAnsi="arial" w:eastAsia="arial" w:cs="arial"/>
          <w:sz w:val="28"/>
          <w:szCs w:val="28"/>
          <w:b w:val="1"/>
          <w:bCs w:val="1"/>
          <w:rtl/>
        </w:rPr>
        <w:t xml:space="preserve">محمد بن عبد الرحيم بن محمد بن عبد القاهر بن هبة الله
</w:t>
      </w:r>
    </w:p>
    <w:p>
      <w:pPr/>
      <w:r>
        <w:rPr/>
        <w:t xml:space="preserve">محمد بن عبد الرحيم بن محمد بن عبد القاهر بن هبة الله محمد بن عبد الرحيم بن محمد بن عبد القاهر بن هبة الله بن عبد القاهر ابن عبد الواحد أبو المعالي شمس الدين ابن النصيبي ولد بعد السبعمائة وكان رئيسا نبيلا وولي الوظائف الجليلة ومات سنة خمسين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2026-06-14T02:43:20+03:00</dcterms:created>
  <dcterms:modified xsi:type="dcterms:W3CDTF">2026-06-14T02:43:20+03:00</dcterms:modified>
</cp:coreProperties>
</file>

<file path=docProps/custom.xml><?xml version="1.0" encoding="utf-8"?>
<Properties xmlns="http://schemas.openxmlformats.org/officeDocument/2006/custom-properties" xmlns:vt="http://schemas.openxmlformats.org/officeDocument/2006/docPropsVTypes"/>
</file>