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إبراهيم بن يحيى بن أبي المجد
</w:t>
      </w:r>
    </w:p>
    <w:p>
      <w:pPr>
        <w:jc w:val="start"/>
        <w:bidi/>
      </w:pPr>
      <w:r>
        <w:rPr>
          <w:rFonts w:ascii="arial" w:hAnsi="arial" w:eastAsia="arial" w:cs="arial"/>
          <w:sz w:val="28"/>
          <w:szCs w:val="28"/>
          <w:b w:val="1"/>
          <w:bCs w:val="1"/>
          <w:rtl/>
        </w:rPr>
        <w:t xml:space="preserve">محمد بن عبد الرحيم بن إبراهيم بن يحيى بن أبي المجد
</w:t>
      </w:r>
    </w:p>
    <w:p>
      <w:pPr/>
      <w:r>
        <w:rPr/>
        <w:t xml:space="preserve">محمد بن عبد الرحيم بن إبراهيم بن يحيى بن أبي المجد محمد بن عبد الرحيم بن إبراهيم بن يحيى بن أبي المجد الأميوطي القاضي عز الدين ولد سنة خمسين وستمائة وتفقه على الضياء ابن عبد الرحيم والنصير بن الطباع والسديد التزمنتي وبحث في مختصر ابن الحاجب الفروعي على الفقيه ناصر الدين الأبياري قاضي الإسكندرية وأخذ المنطق عن سيف الدين البغدادي وقرأ بالسبع على النور الكفي والمكين الأسمر وقرأ أجزاء عدة على الرضي القطيني وتصدر للإقراء وتخرج به جماعة قال الذهبي كان من جلة العلماء وولى قضا الكرك مدة طويلة نحو ثلاثين سنة ومات في شعبان سنة 725 وهو والد شيخنا بالإجازة جمال الدين إبراهيم نزيل مكة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2026-06-14T02:33:55+03:00</dcterms:created>
  <dcterms:modified xsi:type="dcterms:W3CDTF">2026-06-14T02:33:55+03:00</dcterms:modified>
</cp:coreProperties>
</file>

<file path=docProps/custom.xml><?xml version="1.0" encoding="utf-8"?>
<Properties xmlns="http://schemas.openxmlformats.org/officeDocument/2006/custom-properties" xmlns:vt="http://schemas.openxmlformats.org/officeDocument/2006/docPropsVTypes"/>
</file>