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جعفر بن إسماعيل بن ثعلب
</w:t>
      </w:r>
    </w:p>
    <w:p>
      <w:pPr>
        <w:jc w:val="start"/>
        <w:bidi/>
      </w:pPr>
      <w:r>
        <w:rPr>
          <w:rFonts w:ascii="arial" w:hAnsi="arial" w:eastAsia="arial" w:cs="arial"/>
          <w:sz w:val="28"/>
          <w:szCs w:val="28"/>
          <w:b w:val="1"/>
          <w:bCs w:val="1"/>
          <w:rtl/>
        </w:rPr>
        <w:t xml:space="preserve">محمد بن عبد الرحمن بن جعفر بن إسماعيل بن ثعلب
</w:t>
      </w:r>
    </w:p>
    <w:p>
      <w:pPr/>
      <w:r>
        <w:rPr/>
        <w:t xml:space="preserve">محمد بن عبد الرحمن بن جعفر بن إسماعيل بن ثعلب محمد بن عبد الرحمن بن جعفر بن إسماعيل بن ثعلب أبو الفتح الحصري الفقيه المالكي كان من الصالحين العباد وأصابه مرض فكان لا يزال ملقى على ظهره صابرا على ذلك كثير التفويض مات في ليلة الثاني من جمادى الأولى سنة 731 وكان الجمع في جنازته وافرا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2026-06-15T14:21:27+03:00</dcterms:created>
  <dcterms:modified xsi:type="dcterms:W3CDTF">2026-06-15T14:21:27+03:00</dcterms:modified>
</cp:coreProperties>
</file>

<file path=docProps/custom.xml><?xml version="1.0" encoding="utf-8"?>
<Properties xmlns="http://schemas.openxmlformats.org/officeDocument/2006/custom-properties" xmlns:vt="http://schemas.openxmlformats.org/officeDocument/2006/docPropsVTypes"/>
</file>