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إسماعيل الجزيري
</w:t>
      </w:r>
    </w:p>
    <w:p>
      <w:pPr>
        <w:jc w:val="start"/>
        <w:bidi/>
      </w:pPr>
      <w:r>
        <w:rPr>
          <w:rFonts w:ascii="arial" w:hAnsi="arial" w:eastAsia="arial" w:cs="arial"/>
          <w:sz w:val="28"/>
          <w:szCs w:val="28"/>
          <w:b w:val="1"/>
          <w:bCs w:val="1"/>
          <w:rtl/>
        </w:rPr>
        <w:t xml:space="preserve">محمد بن عبد الرحمن بن إسماعيل الجزيري
</w:t>
      </w:r>
    </w:p>
    <w:p>
      <w:pPr/>
      <w:r>
        <w:rPr/>
        <w:t xml:space="preserve">محمد بن عبد الرحمن بن إسماعيل الجزيري محمد بن عبد الرحمن بن إسماعيل الجزيري جمال الدين الجيلي التاجر كان من ذوي اليسار المشهورين مع الدين والخير والمروءة ويقال إنه وصل إلى الصين ثلاث مرار وكان أول ما اتجر يملك خمسمائة دينار فما مات حتى بلغت خمسين ألف دينار وهو ابن أخي زكي الدين إبراهيم الجيلي أستاذ الفارس اقطاي مات في جمادى الأولى سنة 702 بمصر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2026-06-15T14:19:55+03:00</dcterms:created>
  <dcterms:modified xsi:type="dcterms:W3CDTF">2026-06-15T14:19:55+03:00</dcterms:modified>
</cp:coreProperties>
</file>

<file path=docProps/custom.xml><?xml version="1.0" encoding="utf-8"?>
<Properties xmlns="http://schemas.openxmlformats.org/officeDocument/2006/custom-properties" xmlns:vt="http://schemas.openxmlformats.org/officeDocument/2006/docPropsVTypes"/>
</file>