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الأحد بن يوسف الآمدي
</w:t>
      </w:r>
    </w:p>
    <w:p>
      <w:pPr>
        <w:jc w:val="start"/>
        <w:bidi/>
      </w:pPr>
      <w:r>
        <w:rPr>
          <w:rFonts w:ascii="arial" w:hAnsi="arial" w:eastAsia="arial" w:cs="arial"/>
          <w:sz w:val="28"/>
          <w:szCs w:val="28"/>
          <w:b w:val="1"/>
          <w:bCs w:val="1"/>
          <w:rtl/>
        </w:rPr>
        <w:t xml:space="preserve">محمد بن عبد الأحد بن يوسف الآمدي
</w:t>
      </w:r>
    </w:p>
    <w:p>
      <w:pPr/>
      <w:r>
        <w:rPr/>
        <w:t xml:space="preserve">محمد بن عبد الأحد بن يوسف الآمدي محمد بن عبد الأحد بن يوسف الآمدي المعروف بابن الرزيز الحنبلي شمس الدين خطيب الجامع الكريمي كان فاضلا عابدا قال الذهبي كان من عقلاء الرجال وكان حسن الخطابة والقراءة في المحراب مات في سابع عشر شهر رمضان سنة 743 وله ثلاث وثمانون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2026-06-14T03:45:56+03:00</dcterms:created>
  <dcterms:modified xsi:type="dcterms:W3CDTF">2026-06-14T03:45:56+03:00</dcterms:modified>
</cp:coreProperties>
</file>

<file path=docProps/custom.xml><?xml version="1.0" encoding="utf-8"?>
<Properties xmlns="http://schemas.openxmlformats.org/officeDocument/2006/custom-properties" xmlns:vt="http://schemas.openxmlformats.org/officeDocument/2006/docPropsVTypes"/>
</file>