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محمد بن عبد الله التكروري
</w:t>
      </w:r>
    </w:p>
    <w:p>
      <w:pPr>
        <w:jc w:val="start"/>
        <w:bidi/>
      </w:pPr>
      <w:r>
        <w:rPr>
          <w:rFonts w:ascii="arial" w:hAnsi="arial" w:eastAsia="arial" w:cs="arial"/>
          <w:sz w:val="28"/>
          <w:szCs w:val="28"/>
          <w:b w:val="1"/>
          <w:bCs w:val="1"/>
          <w:rtl/>
        </w:rPr>
        <w:t xml:space="preserve">محمد بن عبد الله التكروري
</w:t>
      </w:r>
    </w:p>
    <w:p>
      <w:pPr/>
      <w:r>
        <w:rPr/>
        <w:t xml:space="preserve">محمد بن عبد الله التكروري محمد بن عبد الله التكروري خطيب بلاده ثم حج وسكن المدينة وكان على طريقة مثلي كثير البر الاريثار وتفقد الإخوان متسع العلم مات بالمدينة سنة 742 ودفن عند قبر عثمان حفر له بين القبور فوجدوا قبرا معقودا ليس فيه أحد فوضع فيه</w:t>
      </w:r>
    </w:p>
    <w:p>
      <w:pPr>
        <w:jc w:val="start"/>
        <w:bidi/>
      </w:pPr>
      <w:r>
        <w:rPr>
          <w:sz w:val="24"/>
          <w:szCs w:val="24"/>
          <w:b w:val="1"/>
          <w:bCs w:val="1"/>
          <w:rtl/>
        </w:rPr>
        <w:t xml:space="preserve">
الدرر الكامنة في أعيان المئة الثامنة،(مجلس دائرة المعارف العثمانية - صيدر اباد/ الهند،1972،ط 2،ج 2،ص 0)</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2026-06-15T14:28:42+03:00</dcterms:created>
  <dcterms:modified xsi:type="dcterms:W3CDTF">2026-06-15T14:28:42+03:00</dcterms:modified>
</cp:coreProperties>
</file>

<file path=docProps/custom.xml><?xml version="1.0" encoding="utf-8"?>
<Properties xmlns="http://schemas.openxmlformats.org/officeDocument/2006/custom-properties" xmlns:vt="http://schemas.openxmlformats.org/officeDocument/2006/docPropsVTypes"/>
</file>