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 بن مظفر فخر الدين ابن بهاء
</w:t>
      </w:r>
    </w:p>
    <w:p>
      <w:pPr>
        <w:jc w:val="start"/>
        <w:bidi/>
      </w:pPr>
      <w:r>
        <w:rPr>
          <w:rFonts w:ascii="arial" w:hAnsi="arial" w:eastAsia="arial" w:cs="arial"/>
          <w:sz w:val="28"/>
          <w:szCs w:val="28"/>
          <w:b w:val="1"/>
          <w:bCs w:val="1"/>
          <w:rtl/>
        </w:rPr>
        <w:t xml:space="preserve">محمد بن عبد الله بن علي بن مظفر فخر الدين ابن بهاء
</w:t>
      </w:r>
    </w:p>
    <w:p>
      <w:pPr/>
      <w:r>
        <w:rPr/>
        <w:t xml:space="preserve">محمد بن عبد الله بن علي بن مظفر فخر الدين ابن بهاء محمد بن عبد الله بن علي بن مظفر فخر الدين ابن بهاء الدين الحلي ولي نظر المشهد النفيسي ثم نظر الجيش بدمشق بعد ابن شيخ السلامية في سنة 33 وكان أبوه قد ولي نظر الجيش بمصر مات في جمادى الأولى سنة 736 ببيت المقدس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2026-06-15T15:33:35+03:00</dcterms:created>
  <dcterms:modified xsi:type="dcterms:W3CDTF">2026-06-15T15:33:35+03:00</dcterms:modified>
</cp:coreProperties>
</file>

<file path=docProps/custom.xml><?xml version="1.0" encoding="utf-8"?>
<Properties xmlns="http://schemas.openxmlformats.org/officeDocument/2006/custom-properties" xmlns:vt="http://schemas.openxmlformats.org/officeDocument/2006/docPropsVTypes"/>
</file>