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إبراهيم بن أحمد بن ظافر البرلسي
</w:t>
      </w:r>
    </w:p>
    <w:p>
      <w:pPr>
        <w:jc w:val="start"/>
        <w:bidi/>
      </w:pPr>
      <w:r>
        <w:rPr>
          <w:rFonts w:ascii="arial" w:hAnsi="arial" w:eastAsia="arial" w:cs="arial"/>
          <w:sz w:val="28"/>
          <w:szCs w:val="28"/>
          <w:b w:val="1"/>
          <w:bCs w:val="1"/>
          <w:rtl/>
        </w:rPr>
        <w:t xml:space="preserve">محمد بن عبد الله بن إبراهيم بن أحمد بن ظافر البرلسي
</w:t>
      </w:r>
    </w:p>
    <w:p>
      <w:pPr/>
      <w:r>
        <w:rPr/>
        <w:t xml:space="preserve">محمد بن عبد الله بن إبراهيم بن أحمد بن ظافر البرلسي محمد بن عبد الله بن إبراهيم بن أحمد بن ظافر البرلسي المالكي صلاح الدين ولد سنة 699 وسمع على علي بن محمد بن هارون البعلي وست الوزراء وغيرهما وقرأ الأصول على القونوي وولي حسبة القاهرة ونظر الإسكندرية ونظر المواريث ومات في صفر سنة 765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2026-06-19T12:39:19+03:00</dcterms:created>
  <dcterms:modified xsi:type="dcterms:W3CDTF">2026-06-19T12:39:19+03:00</dcterms:modified>
</cp:coreProperties>
</file>

<file path=docProps/custom.xml><?xml version="1.0" encoding="utf-8"?>
<Properties xmlns="http://schemas.openxmlformats.org/officeDocument/2006/custom-properties" xmlns:vt="http://schemas.openxmlformats.org/officeDocument/2006/docPropsVTypes"/>
</file>