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طلحة بن يوسف بن عبد الله شمس الدين الحلبي
</w:t>
      </w:r>
    </w:p>
    <w:p>
      <w:pPr>
        <w:jc w:val="start"/>
        <w:bidi/>
      </w:pPr>
      <w:r>
        <w:rPr>
          <w:rFonts w:ascii="arial" w:hAnsi="arial" w:eastAsia="arial" w:cs="arial"/>
          <w:sz w:val="28"/>
          <w:szCs w:val="28"/>
          <w:b w:val="1"/>
          <w:bCs w:val="1"/>
          <w:rtl/>
        </w:rPr>
        <w:t xml:space="preserve">محمد بن طلحة بن يوسف بن عبد الله شمس الدين الحلبي
</w:t>
      </w:r>
    </w:p>
    <w:p>
      <w:pPr/>
      <w:r>
        <w:rPr/>
        <w:t xml:space="preserve">محمد بن طلحة بن يوسف بن عبد الله شمس الدين الحلبي محمد بن طلحة بن يوسف بن عبد الله شمس الدين الحلبي ولد سنة 705 وقرأ القرآن وسمع من الكمال ابن النحاس الجزء المنتقى من مشيخة العماد ابن النحاس وحدث بها وقرأ بعض القرآن ببعض الروايات وكان يسكن بالخانقاه الصلاحية بحلب ويؤم بالعصرونية وكان يعاشر الأكابر مع الظرف البالغ والمجون ومات سنة 788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2026-06-19T12:38:50+03:00</dcterms:created>
  <dcterms:modified xsi:type="dcterms:W3CDTF">2026-06-19T12:38:50+03:00</dcterms:modified>
</cp:coreProperties>
</file>

<file path=docProps/custom.xml><?xml version="1.0" encoding="utf-8"?>
<Properties xmlns="http://schemas.openxmlformats.org/officeDocument/2006/custom-properties" xmlns:vt="http://schemas.openxmlformats.org/officeDocument/2006/docPropsVTypes"/>
</file>