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الحكرى شمس الدين المقرئ
</w:t>
      </w:r>
    </w:p>
    <w:p>
      <w:pPr>
        <w:jc w:val="start"/>
        <w:bidi/>
      </w:pPr>
      <w:r>
        <w:rPr>
          <w:rFonts w:ascii="arial" w:hAnsi="arial" w:eastAsia="arial" w:cs="arial"/>
          <w:sz w:val="28"/>
          <w:szCs w:val="28"/>
          <w:b w:val="1"/>
          <w:bCs w:val="1"/>
          <w:rtl/>
        </w:rPr>
        <w:t xml:space="preserve">محمد بن سليمان الحكرى شمس الدين المقرئ
</w:t>
      </w:r>
    </w:p>
    <w:p>
      <w:pPr/>
      <w:r>
        <w:rPr/>
        <w:t xml:space="preserve">محمد بن سليمان الحكرى شمس الدين المقرئ محمد بن سليمان الحكرى شمس الدين المقرئ ولد سنة وقرأ على البرهان الحكري وتفقه ومهر وشرح الحاوي والألفية ثم ولي قضاء المدينة سنة 66 وله تصانيف في القراآت ثم ولي قضاء القدس ثم ناب في عدة جهات من أعمال الديار المصرية ومات في ذي الحجة سنة 782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2026-06-19T13:47:35+03:00</dcterms:created>
  <dcterms:modified xsi:type="dcterms:W3CDTF">2026-06-19T13:47:35+03:00</dcterms:modified>
</cp:coreProperties>
</file>

<file path=docProps/custom.xml><?xml version="1.0" encoding="utf-8"?>
<Properties xmlns="http://schemas.openxmlformats.org/officeDocument/2006/custom-properties" xmlns:vt="http://schemas.openxmlformats.org/officeDocument/2006/docPropsVTypes"/>
</file>