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عون
</w:t>
      </w:r>
    </w:p>
    <w:p>
      <w:pPr>
        <w:jc w:val="start"/>
        <w:bidi/>
      </w:pPr>
      <w:r>
        <w:rPr>
          <w:rFonts w:ascii="arial" w:hAnsi="arial" w:eastAsia="arial" w:cs="arial"/>
          <w:sz w:val="28"/>
          <w:szCs w:val="28"/>
          <w:b w:val="1"/>
          <w:bCs w:val="1"/>
          <w:rtl/>
        </w:rPr>
        <w:t xml:space="preserve">مسعود بن عون
</w:t>
      </w:r>
    </w:p>
    <w:p>
      <w:pPr/>
      <w:r>
        <w:rPr/>
        <w:t xml:space="preserve">مسعود بن عون  مسعود بن عون بن المنذر بن النعمان أبي قابوس ابن ماء السماء اللخمي، أبو النعمان: أمير بني لخم في العراق. صارت إليه الإمارة بعد مقتل أبيه. وحضر فتح دمشق. ثم حضر واقعة مرج الديباج ووقائع اليرموك، قال عوف ابن مالك الأشجعي: ووالله لقد قاتل هو ومن معه من لخم وجذام، وكانوا زهاء ألف وخمسمائة فارس، قتالا شديدا وصبروا صبرا حسنا. وحضر فتح بيت المقدس. وظهرت منه في حرب قنسرين شجاعة عجيبة. ولما تم فتح حلب أرسله أبو عبيدة في أول جيش أرسل لغزو الروم بأنطاكية، وفتحها. وأقام بعد ذلك، بأهله في بلاد (المعرة) وكان يلقب بقحطان. وله شعر. </w:t>
      </w:r>
    </w:p>
    <w:p/>
    <w:p>
      <w:pPr>
        <w:jc w:val="start"/>
        <w:bidi/>
      </w:pPr>
      <w:r>
        <w:rPr>
          <w:sz w:val="24"/>
          <w:szCs w:val="24"/>
          <w:b w:val="1"/>
          <w:bCs w:val="1"/>
          <w:rtl/>
        </w:rPr>
        <w:t xml:space="preserve">
الأعلام،(دار العلم للملايين - بيروت،2002،ط 15،ج 7،ص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2026-06-10T07:52:16+03:00</dcterms:created>
  <dcterms:modified xsi:type="dcterms:W3CDTF">2026-06-10T07:52:16+03:00</dcterms:modified>
</cp:coreProperties>
</file>

<file path=docProps/custom.xml><?xml version="1.0" encoding="utf-8"?>
<Properties xmlns="http://schemas.openxmlformats.org/officeDocument/2006/custom-properties" xmlns:vt="http://schemas.openxmlformats.org/officeDocument/2006/docPropsVTypes"/>
</file>