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عمار بن متوج بن جرير
</w:t>
      </w:r>
    </w:p>
    <w:p>
      <w:pPr>
        <w:jc w:val="start"/>
        <w:bidi/>
      </w:pPr>
      <w:r>
        <w:rPr>
          <w:rFonts w:ascii="arial" w:hAnsi="arial" w:eastAsia="arial" w:cs="arial"/>
          <w:sz w:val="28"/>
          <w:szCs w:val="28"/>
          <w:b w:val="1"/>
          <w:bCs w:val="1"/>
          <w:rtl/>
        </w:rPr>
        <w:t xml:space="preserve">محمد بن الحسن بن محمد بن عمار بن متوج بن جرير
</w:t>
      </w:r>
    </w:p>
    <w:p>
      <w:pPr/>
      <w:r>
        <w:rPr/>
        <w:t xml:space="preserve">محمد بن الحسن بن محمد بن عمار بن متوج بن جرير محمد بن الحسن بن محمد بن عمار بن متوج بن جرير الحارثي جمال الدين أبو عبد الله ابن محيى الدين ابن قاضي الزبداني الفقيه الشافعي ولد في جمادى الآخرة سنة 688 وسمع من ابن مكتوم وابن الجرائدي وست الوزراء وغيرهم وكتب الطباق بخطه ومن مروياته مسند الشافعي سمعه على ست الوزراء والبسملة لأبي شامة سمعه على علي بن يحيى الشاطبي بسماعه من مؤلفه وكان البرهان ابن الفركاح شيخه يثني على فهمه وعلى فتاويه المحررة ويقال إنه لم يضبط عليه فتوى أخطأ فيها وكان كثير المروءة مقبول القول عند الأكابر كثير التواضع معروفا بقضاء حوائج الناس وأجاز لعبد الله بن عمر بن العز ابن جماعة وقرأت بخط الشرف القدسي سمعت عليه من مسند الشافعي وقال ليس في الفقهاء من يكتب على الفتاوي مثله وتفقه على البرهان ابن الفركاح والكمال الزملكاني وأذن له في الإفتاء وتقدم في الفقه وغيره وبرع وصار مشارا إليه في الفتوى ودرس وحدث ومات في أول يوم من المحرم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2026-06-21T15:37:15+03:00</dcterms:created>
  <dcterms:modified xsi:type="dcterms:W3CDTF">2026-06-21T15:37:15+03:00</dcterms:modified>
</cp:coreProperties>
</file>

<file path=docProps/custom.xml><?xml version="1.0" encoding="utf-8"?>
<Properties xmlns="http://schemas.openxmlformats.org/officeDocument/2006/custom-properties" xmlns:vt="http://schemas.openxmlformats.org/officeDocument/2006/docPropsVTypes"/>
</file>