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بن علي بن عمر الاسنائي ثم المصري الشافعي
</w:t>
      </w:r>
    </w:p>
    <w:p>
      <w:pPr>
        <w:jc w:val="start"/>
        <w:bidi/>
      </w:pPr>
      <w:r>
        <w:rPr>
          <w:rFonts w:ascii="arial" w:hAnsi="arial" w:eastAsia="arial" w:cs="arial"/>
          <w:sz w:val="28"/>
          <w:szCs w:val="28"/>
          <w:b w:val="1"/>
          <w:bCs w:val="1"/>
          <w:rtl/>
        </w:rPr>
        <w:t xml:space="preserve">محمد بن الحسن بن علي بن عمر الاسنائي ثم المصري الشافعي
</w:t>
      </w:r>
    </w:p>
    <w:p>
      <w:pPr/>
      <w:r>
        <w:rPr/>
        <w:t xml:space="preserve">محمد بن الحسن بن علي بن عمر الاسنائي ثم المصري الشافعي محمد بن الحسن بن علي بن عمر الاسنائي ثم المصري الشافعي عماد الدين أخو الشيخ جمال الدين ولد في حدود سنة 695 واشتغل بالفقه وغيره على والده وأخذ عن شيوخ القاهرة والشام ولقي الشرف البارزى بحماة وسمع الحديث من التاج ابن دقيق العيد وغيره قال أخوه في الطبقات كان فقيها إماما في الأصلين وغيرهما نظارا بحاثا فصيحا حسن التعبير عن الأشياء الدقيقة بالعبارات الرشيقة دينا خيرا كثير الصدقة والبر رقيق القلب مطرحا للتكلف مؤثرا للتقشف كثير التخيل من الناس ولم يفتح عليه في العربية مع ذلك وكان قد استوطن حماة مدة ودرس بها ثم عاد إلى الديار المصرية وله المعتبر في علم النظر وشرحه وحياة القلوب في التصوف وشرع في شرح المنهاج للبيضاوي ويقال إنه الذي أكمله أخوه ودرس في الخشابية وغيرها وناب في الحكم بالقاهرة ومنوف مدة قليلة مات في رجب سنة 764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2026-06-21T16:07:43+03:00</dcterms:created>
  <dcterms:modified xsi:type="dcterms:W3CDTF">2026-06-21T16:07:43+03:00</dcterms:modified>
</cp:coreProperties>
</file>

<file path=docProps/custom.xml><?xml version="1.0" encoding="utf-8"?>
<Properties xmlns="http://schemas.openxmlformats.org/officeDocument/2006/custom-properties" xmlns:vt="http://schemas.openxmlformats.org/officeDocument/2006/docPropsVTypes"/>
</file>