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أبي بكر بن عياش بن عسكر الخابوري
</w:t>
      </w:r>
    </w:p>
    <w:p>
      <w:pPr>
        <w:jc w:val="start"/>
        <w:bidi/>
      </w:pPr>
      <w:r>
        <w:rPr>
          <w:rFonts w:ascii="arial" w:hAnsi="arial" w:eastAsia="arial" w:cs="arial"/>
          <w:sz w:val="28"/>
          <w:szCs w:val="28"/>
          <w:b w:val="1"/>
          <w:bCs w:val="1"/>
          <w:rtl/>
        </w:rPr>
        <w:t xml:space="preserve">محمد بن أبي بكر بن عياش بن عسكر الخابوري
</w:t>
      </w:r>
    </w:p>
    <w:p>
      <w:pPr/>
      <w:r>
        <w:rPr/>
        <w:t xml:space="preserve">محمد بن أبي بكر بن عياش بن عسكر الخابوري محمد بن أبي بكر بن عياش بن عسكر الخابوري صدر الدين ولد في حدود السبعمائة واعتنى بالفقه فحمل عن الشيخ كمال الدين الزملكاني والشيخ برهان الدين ابن الفركاح والشيخ زين الدين الكتناني وغيرهم ودرس وأفاد وولي قضاء صفد وطرابلس وبها مات وسمع بمصر من يوسف الختى وغيره سمع منه شيخنا العراقي وغيره ويقال إن رجلا جاء إلى الفخر المصري بفتيا فقال من أين قال من صفد قال أليس عندكم الشيخ صفى الدين الخابوري هو أعلم مني فسله ورد عليه الفتيا حكاها العثماني قاضي صفد وكان مشاركا في عدة علوم وكان الطلبة يقصدونه ليأذن لهم في الافتاء وقد أذن لجمع كثير ومات وهو عالم طرابلس ومفتيها بعد الوقعة الكائنة بها مع الفرنج في سابع عشري المحرم سنة 769</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2026-06-21T19:50:04+03:00</dcterms:created>
  <dcterms:modified xsi:type="dcterms:W3CDTF">2026-06-21T19:50:04+03:00</dcterms:modified>
</cp:coreProperties>
</file>

<file path=docProps/custom.xml><?xml version="1.0" encoding="utf-8"?>
<Properties xmlns="http://schemas.openxmlformats.org/officeDocument/2006/custom-properties" xmlns:vt="http://schemas.openxmlformats.org/officeDocument/2006/docPropsVTypes"/>
</file>