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بكر بن عمر بن محمد السمرقندي
</w:t>
      </w:r>
    </w:p>
    <w:p>
      <w:pPr>
        <w:jc w:val="start"/>
        <w:bidi/>
      </w:pPr>
      <w:r>
        <w:rPr>
          <w:rFonts w:ascii="arial" w:hAnsi="arial" w:eastAsia="arial" w:cs="arial"/>
          <w:sz w:val="28"/>
          <w:szCs w:val="28"/>
          <w:b w:val="1"/>
          <w:bCs w:val="1"/>
          <w:rtl/>
        </w:rPr>
        <w:t xml:space="preserve">محمد بن أبي بكر بن عمر بن محمد السمرقندي
</w:t>
      </w:r>
    </w:p>
    <w:p>
      <w:pPr/>
      <w:r>
        <w:rPr/>
        <w:t xml:space="preserve">محمد بن أبي بكر بن عمر بن محمد السمرقندي محمد بن أبي بكر بن عمر بن محمد السمرقندي النوجا باذي الحنفي قاضي المغل برهان الدين ولد سنة 643 وتفقه ببلاده وقدم بغداد مرار وروى عن سيف الدين الفاخوري بالإجازة قال الذهبي لم يصح سماعه منه وكان صدرا معظما كثير اللطائف حسن المذاكرة اتفق أنه لما أكمل ثمانين سنة عمل وليمة حافلة فمات بعدها بجمعة في شهر رمضان سنة 723 وقد سمع من محمد بن يوسف الزرندي والسراج القزويني وأجاز للذهبي وأولاده ونوجاباذ - بضم النون وسكون الواو بعدها جيم وبعد الألف موحدة وبعد الألف الثانية ذال معجمة - من بخارا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2026-06-21T18:21:38+03:00</dcterms:created>
  <dcterms:modified xsi:type="dcterms:W3CDTF">2026-06-21T18:21:38+03:00</dcterms:modified>
</cp:coreProperties>
</file>

<file path=docProps/custom.xml><?xml version="1.0" encoding="utf-8"?>
<Properties xmlns="http://schemas.openxmlformats.org/officeDocument/2006/custom-properties" xmlns:vt="http://schemas.openxmlformats.org/officeDocument/2006/docPropsVTypes"/>
</file>