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البصال اليمني جمال الدين
</w:t>
      </w:r>
    </w:p>
    <w:p>
      <w:pPr>
        <w:jc w:val="start"/>
        <w:bidi/>
      </w:pPr>
      <w:r>
        <w:rPr>
          <w:rFonts w:ascii="arial" w:hAnsi="arial" w:eastAsia="arial" w:cs="arial"/>
          <w:sz w:val="28"/>
          <w:szCs w:val="28"/>
          <w:b w:val="1"/>
          <w:bCs w:val="1"/>
          <w:rtl/>
        </w:rPr>
        <w:t xml:space="preserve">محمد بن أحمد البصال اليمني جمال الدين
</w:t>
      </w:r>
    </w:p>
    <w:p>
      <w:pPr/>
      <w:r>
        <w:rPr/>
        <w:t xml:space="preserve">محمد بن أحمد البصال اليمني جمال الدين محمد بن أحمد البصال اليمني جمال الدين أبو عبد الله ولد باليمن وتفقه على عبد الرحمن بن شعبان وصحب الشيخ عمر الصفار وشرح التنبيه وعين لقضاء عدن فامتنع أخذ عنه الشيخ عبد الله اليافعي ولبس منه خرقة التصوف وذكره الاسنوي في الطبقات وقال مات في سنة 748 وكان صاحب كشف وكرامات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2026-06-21T19:41:08+03:00</dcterms:created>
  <dcterms:modified xsi:type="dcterms:W3CDTF">2026-06-21T19:41:08+03:00</dcterms:modified>
</cp:coreProperties>
</file>

<file path=docProps/custom.xml><?xml version="1.0" encoding="utf-8"?>
<Properties xmlns="http://schemas.openxmlformats.org/officeDocument/2006/custom-properties" xmlns:vt="http://schemas.openxmlformats.org/officeDocument/2006/docPropsVTypes"/>
</file>